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EEE"/>
  <w:body>
    <w:tbl>
      <w:tblPr>
        <w:tblW w:w="10200" w:type="dxa"/>
        <w:jc w:val="center"/>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10200"/>
      </w:tblGrid>
      <w:tr w:rsidR="002C5960">
        <w:trPr>
          <w:tblCellSpacing w:w="15" w:type="dxa"/>
          <w:jc w:val="center"/>
        </w:trPr>
        <w:tc>
          <w:tcPr>
            <w:tcW w:w="0" w:type="auto"/>
            <w:shd w:val="clear" w:color="auto" w:fill="CCCCCC"/>
            <w:vAlign w:val="center"/>
            <w:hideMark/>
          </w:tcPr>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5973"/>
              <w:gridCol w:w="3777"/>
            </w:tblGrid>
            <w:tr w:rsidR="002C5960">
              <w:trPr>
                <w:tblCellSpacing w:w="15" w:type="dxa"/>
                <w:jc w:val="center"/>
              </w:trPr>
              <w:tc>
                <w:tcPr>
                  <w:tcW w:w="0" w:type="auto"/>
                  <w:vAlign w:val="center"/>
                  <w:hideMark/>
                </w:tcPr>
                <w:p w:rsidR="002C5960" w:rsidRDefault="009D7667">
                  <w:pPr>
                    <w:rPr>
                      <w:rFonts w:ascii="Arial" w:eastAsia="Times New Roman" w:hAnsi="Arial" w:cs="Arial"/>
                      <w:b/>
                      <w:bCs/>
                    </w:rPr>
                  </w:pPr>
                  <w:bookmarkStart w:id="0" w:name="_GoBack"/>
                  <w:bookmarkEnd w:id="0"/>
                  <w:r>
                    <w:rPr>
                      <w:rFonts w:ascii="Arial" w:eastAsia="Times New Roman" w:hAnsi="Arial" w:cs="Arial"/>
                      <w:b/>
                      <w:bCs/>
                      <w:sz w:val="20"/>
                      <w:szCs w:val="20"/>
                    </w:rPr>
                    <w:t xml:space="preserve">The Knowledge Group Webcast </w:t>
                  </w:r>
                </w:p>
              </w:tc>
              <w:tc>
                <w:tcPr>
                  <w:tcW w:w="0" w:type="auto"/>
                  <w:vAlign w:val="center"/>
                  <w:hideMark/>
                </w:tcPr>
                <w:p w:rsidR="002C5960" w:rsidRDefault="009D7667">
                  <w:pPr>
                    <w:jc w:val="right"/>
                    <w:rPr>
                      <w:rFonts w:ascii="Arial" w:eastAsia="Times New Roman" w:hAnsi="Arial" w:cs="Arial"/>
                      <w:b/>
                      <w:bCs/>
                    </w:rPr>
                  </w:pPr>
                  <w:r>
                    <w:rPr>
                      <w:rFonts w:ascii="Arial" w:eastAsia="Times New Roman" w:hAnsi="Arial" w:cs="Arial"/>
                      <w:b/>
                      <w:bCs/>
                      <w:sz w:val="15"/>
                      <w:szCs w:val="15"/>
                    </w:rPr>
                    <w:t xml:space="preserve">View </w:t>
                  </w:r>
                  <w:hyperlink r:id="rId5" w:history="1">
                    <w:r>
                      <w:rPr>
                        <w:rStyle w:val="Hyperlink"/>
                        <w:rFonts w:ascii="Arial" w:eastAsia="Times New Roman" w:hAnsi="Arial" w:cs="Arial"/>
                        <w:b/>
                        <w:bCs/>
                        <w:color w:val="FF0000"/>
                        <w:sz w:val="15"/>
                        <w:szCs w:val="15"/>
                      </w:rPr>
                      <w:t>Online</w:t>
                    </w:r>
                  </w:hyperlink>
                  <w:r>
                    <w:rPr>
                      <w:rFonts w:ascii="Arial" w:eastAsia="Times New Roman" w:hAnsi="Arial" w:cs="Arial"/>
                      <w:b/>
                      <w:bCs/>
                      <w:sz w:val="15"/>
                      <w:szCs w:val="15"/>
                    </w:rPr>
                    <w:t xml:space="preserve"> | </w:t>
                  </w:r>
                  <w:hyperlink r:id="rId6" w:tgtFrame="_blank" w:history="1">
                    <w:r>
                      <w:rPr>
                        <w:rStyle w:val="Hyperlink"/>
                        <w:rFonts w:ascii="Arial" w:eastAsia="Times New Roman" w:hAnsi="Arial" w:cs="Arial"/>
                        <w:b/>
                        <w:bCs/>
                        <w:color w:val="FF0000"/>
                        <w:sz w:val="15"/>
                        <w:szCs w:val="15"/>
                      </w:rPr>
                      <w:t>Unsubscribe</w:t>
                    </w:r>
                  </w:hyperlink>
                </w:p>
              </w:tc>
            </w:tr>
          </w:tbl>
          <w:p w:rsidR="002C5960" w:rsidRDefault="002C5960">
            <w:pPr>
              <w:jc w:val="center"/>
              <w:rPr>
                <w:rFonts w:ascii="Arial" w:eastAsia="Times New Roman" w:hAnsi="Arial" w:cs="Arial"/>
                <w:vanish/>
              </w:rPr>
            </w:pPr>
          </w:p>
          <w:tbl>
            <w:tblPr>
              <w:tblW w:w="97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50"/>
            </w:tblGrid>
            <w:tr w:rsidR="002C5960">
              <w:trPr>
                <w:tblCellSpacing w:w="15" w:type="dxa"/>
                <w:jc w:val="center"/>
              </w:trPr>
              <w:tc>
                <w:tcPr>
                  <w:tcW w:w="0" w:type="auto"/>
                  <w:shd w:val="clear" w:color="auto" w:fill="FFFFFF"/>
                  <w:vAlign w:val="center"/>
                  <w:hideMark/>
                </w:tcPr>
                <w:p w:rsidR="002C5960" w:rsidRDefault="002C5960">
                  <w:pPr>
                    <w:rPr>
                      <w:rFonts w:ascii="Arial" w:eastAsia="Times New Roman" w:hAnsi="Arial" w:cs="Arial"/>
                    </w:rPr>
                  </w:pPr>
                </w:p>
                <w:tbl>
                  <w:tblPr>
                    <w:tblW w:w="5000" w:type="pct"/>
                    <w:tblCellSpacing w:w="15" w:type="dxa"/>
                    <w:tblCellMar>
                      <w:top w:w="15" w:type="dxa"/>
                      <w:left w:w="15" w:type="dxa"/>
                      <w:bottom w:w="150" w:type="dxa"/>
                      <w:right w:w="15" w:type="dxa"/>
                    </w:tblCellMar>
                    <w:tblLook w:val="04A0" w:firstRow="1" w:lastRow="0" w:firstColumn="1" w:lastColumn="0" w:noHBand="0" w:noVBand="1"/>
                  </w:tblPr>
                  <w:tblGrid>
                    <w:gridCol w:w="3924"/>
                    <w:gridCol w:w="2162"/>
                    <w:gridCol w:w="3574"/>
                  </w:tblGrid>
                  <w:tr w:rsidR="002C5960">
                    <w:trPr>
                      <w:tblCellSpacing w:w="15" w:type="dxa"/>
                    </w:trPr>
                    <w:tc>
                      <w:tcPr>
                        <w:tcW w:w="0" w:type="auto"/>
                        <w:vAlign w:val="center"/>
                        <w:hideMark/>
                      </w:tcPr>
                      <w:p w:rsidR="002C5960" w:rsidRDefault="009D7667">
                        <w:pPr>
                          <w:jc w:val="center"/>
                          <w:rPr>
                            <w:rFonts w:eastAsia="Times New Roman"/>
                          </w:rPr>
                        </w:pPr>
                        <w:r>
                          <w:rPr>
                            <w:rFonts w:eastAsia="Times New Roman"/>
                            <w:noProof/>
                            <w:color w:val="0000FF"/>
                          </w:rPr>
                          <w:drawing>
                            <wp:inline distT="0" distB="0" distL="0" distR="0">
                              <wp:extent cx="2095500" cy="828675"/>
                              <wp:effectExtent l="0" t="0" r="0" b="9525"/>
                              <wp:docPr id="1" name="Picture 1" descr="firm websi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 website">
                                        <a:hlinkClick r:id="rId7"/>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95500" cy="828675"/>
                                      </a:xfrm>
                                      <a:prstGeom prst="rect">
                                        <a:avLst/>
                                      </a:prstGeom>
                                      <a:noFill/>
                                      <a:ln>
                                        <a:noFill/>
                                      </a:ln>
                                    </pic:spPr>
                                  </pic:pic>
                                </a:graphicData>
                              </a:graphic>
                            </wp:inline>
                          </w:drawing>
                        </w:r>
                      </w:p>
                    </w:tc>
                    <w:tc>
                      <w:tcPr>
                        <w:tcW w:w="0" w:type="auto"/>
                        <w:vAlign w:val="center"/>
                        <w:hideMark/>
                      </w:tcPr>
                      <w:p w:rsidR="002C5960" w:rsidRDefault="009D7667">
                        <w:pPr>
                          <w:jc w:val="center"/>
                          <w:rPr>
                            <w:rFonts w:eastAsia="Times New Roman"/>
                          </w:rPr>
                        </w:pPr>
                        <w:r>
                          <w:rPr>
                            <w:rFonts w:eastAsia="Times New Roman"/>
                            <w:noProof/>
                          </w:rPr>
                          <w:drawing>
                            <wp:inline distT="0" distB="0" distL="0" distR="0">
                              <wp:extent cx="1143000" cy="333375"/>
                              <wp:effectExtent l="0" t="0" r="0" b="9525"/>
                              <wp:docPr id="2" name="Picture 2"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ny Logo"/>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inline>
                          </w:drawing>
                        </w:r>
                      </w:p>
                    </w:tc>
                    <w:tc>
                      <w:tcPr>
                        <w:tcW w:w="0" w:type="auto"/>
                        <w:vAlign w:val="center"/>
                        <w:hideMark/>
                      </w:tcPr>
                      <w:p w:rsidR="002C5960" w:rsidRDefault="009D7667">
                        <w:pPr>
                          <w:jc w:val="center"/>
                          <w:rPr>
                            <w:rFonts w:eastAsia="Times New Roman"/>
                          </w:rPr>
                        </w:pPr>
                        <w:r>
                          <w:rPr>
                            <w:rFonts w:eastAsia="Times New Roman"/>
                            <w:noProof/>
                          </w:rPr>
                          <w:drawing>
                            <wp:inline distT="0" distB="0" distL="0" distR="0">
                              <wp:extent cx="1905000" cy="857250"/>
                              <wp:effectExtent l="0" t="0" r="0" b="0"/>
                              <wp:docPr id="3" name="Picture 3"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ny Logo"/>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0" cy="857250"/>
                                      </a:xfrm>
                                      <a:prstGeom prst="rect">
                                        <a:avLst/>
                                      </a:prstGeom>
                                      <a:noFill/>
                                      <a:ln>
                                        <a:noFill/>
                                      </a:ln>
                                    </pic:spPr>
                                  </pic:pic>
                                </a:graphicData>
                              </a:graphic>
                            </wp:inline>
                          </w:drawing>
                        </w:r>
                      </w:p>
                    </w:tc>
                  </w:tr>
                </w:tbl>
                <w:p w:rsidR="002C5960" w:rsidRDefault="002C5960">
                  <w:pPr>
                    <w:rPr>
                      <w:rFonts w:ascii="Arial" w:eastAsia="Times New Roman" w:hAnsi="Arial" w:cs="Arial"/>
                      <w:vanish/>
                    </w:rPr>
                  </w:pPr>
                </w:p>
                <w:tbl>
                  <w:tblPr>
                    <w:tblW w:w="5000" w:type="pct"/>
                    <w:tblCellSpacing w:w="15" w:type="dxa"/>
                    <w:tblCellMar>
                      <w:top w:w="15" w:type="dxa"/>
                      <w:left w:w="15" w:type="dxa"/>
                      <w:bottom w:w="150" w:type="dxa"/>
                      <w:right w:w="15" w:type="dxa"/>
                    </w:tblCellMar>
                    <w:tblLook w:val="04A0" w:firstRow="1" w:lastRow="0" w:firstColumn="1" w:lastColumn="0" w:noHBand="0" w:noVBand="1"/>
                  </w:tblPr>
                  <w:tblGrid>
                    <w:gridCol w:w="9660"/>
                  </w:tblGrid>
                  <w:tr w:rsidR="002C5960">
                    <w:trPr>
                      <w:tblCellSpacing w:w="15" w:type="dxa"/>
                    </w:trPr>
                    <w:tc>
                      <w:tcPr>
                        <w:tcW w:w="0" w:type="auto"/>
                        <w:vAlign w:val="center"/>
                        <w:hideMark/>
                      </w:tcPr>
                      <w:p w:rsidR="002C5960" w:rsidRDefault="002C5960">
                        <w:pPr>
                          <w:rPr>
                            <w:rFonts w:ascii="Arial" w:eastAsia="Times New Roman" w:hAnsi="Arial" w:cs="Arial"/>
                          </w:rPr>
                        </w:pPr>
                      </w:p>
                    </w:tc>
                  </w:tr>
                </w:tbl>
                <w:p w:rsidR="002C5960" w:rsidRDefault="002C5960">
                  <w:pPr>
                    <w:rPr>
                      <w:rFonts w:ascii="Arial" w:eastAsia="Times New Roman" w:hAnsi="Arial" w:cs="Arial"/>
                    </w:rPr>
                  </w:pPr>
                </w:p>
              </w:tc>
            </w:tr>
          </w:tbl>
          <w:p w:rsidR="002C5960" w:rsidRDefault="002C5960">
            <w:pPr>
              <w:jc w:val="center"/>
              <w:rPr>
                <w:rFonts w:ascii="Arial" w:eastAsia="Times New Roman" w:hAnsi="Arial" w:cs="Arial"/>
                <w:vanish/>
              </w:rPr>
            </w:pPr>
          </w:p>
          <w:tbl>
            <w:tblPr>
              <w:tblW w:w="9750" w:type="dxa"/>
              <w:jc w:val="center"/>
              <w:tblCellSpacing w:w="0" w:type="dxa"/>
              <w:shd w:val="clear" w:color="auto" w:fill="39344A"/>
              <w:tblCellMar>
                <w:top w:w="15" w:type="dxa"/>
                <w:left w:w="15" w:type="dxa"/>
                <w:bottom w:w="15" w:type="dxa"/>
                <w:right w:w="15" w:type="dxa"/>
              </w:tblCellMar>
              <w:tblLook w:val="04A0" w:firstRow="1" w:lastRow="0" w:firstColumn="1" w:lastColumn="0" w:noHBand="0" w:noVBand="1"/>
            </w:tblPr>
            <w:tblGrid>
              <w:gridCol w:w="5970"/>
              <w:gridCol w:w="3780"/>
            </w:tblGrid>
            <w:tr w:rsidR="002C5960">
              <w:trPr>
                <w:tblCellSpacing w:w="0" w:type="dxa"/>
                <w:jc w:val="center"/>
              </w:trPr>
              <w:tc>
                <w:tcPr>
                  <w:tcW w:w="0" w:type="auto"/>
                  <w:shd w:val="clear" w:color="auto" w:fill="39344A"/>
                  <w:tcMar>
                    <w:top w:w="120" w:type="dxa"/>
                    <w:left w:w="120" w:type="dxa"/>
                    <w:bottom w:w="120" w:type="dxa"/>
                    <w:right w:w="120" w:type="dxa"/>
                  </w:tcMar>
                  <w:vAlign w:val="center"/>
                  <w:hideMark/>
                </w:tcPr>
                <w:p w:rsidR="002C5960" w:rsidRDefault="009D7667">
                  <w:pPr>
                    <w:spacing w:after="240"/>
                    <w:rPr>
                      <w:rFonts w:ascii="Arial" w:eastAsia="Times New Roman" w:hAnsi="Arial" w:cs="Arial"/>
                      <w:color w:val="FFFFFF"/>
                    </w:rPr>
                  </w:pPr>
                  <w:r>
                    <w:rPr>
                      <w:rFonts w:ascii="Arial" w:eastAsia="Times New Roman" w:hAnsi="Arial" w:cs="Arial"/>
                      <w:b/>
                      <w:bCs/>
                      <w:color w:val="FFFFFF"/>
                    </w:rPr>
                    <w:t>Live CLE/CPE Webinar Invitation</w:t>
                  </w:r>
                  <w:r>
                    <w:rPr>
                      <w:rFonts w:ascii="Arial" w:eastAsia="Times New Roman" w:hAnsi="Arial" w:cs="Arial"/>
                      <w:color w:val="FFFFFF"/>
                    </w:rPr>
                    <w:br/>
                  </w:r>
                  <w:r>
                    <w:rPr>
                      <w:rFonts w:ascii="Arial" w:eastAsia="Times New Roman" w:hAnsi="Arial" w:cs="Arial"/>
                      <w:color w:val="FFFFFF"/>
                    </w:rPr>
                    <w:br/>
                  </w:r>
                  <w:r>
                    <w:rPr>
                      <w:rFonts w:ascii="Arial" w:eastAsia="Times New Roman" w:hAnsi="Arial" w:cs="Arial"/>
                      <w:color w:val="85BCE3"/>
                      <w:sz w:val="27"/>
                      <w:szCs w:val="27"/>
                    </w:rPr>
                    <w:t>Privacy Shield Certifications: Things You Need to Know</w:t>
                  </w:r>
                  <w:r>
                    <w:rPr>
                      <w:rFonts w:ascii="Arial" w:eastAsia="Times New Roman" w:hAnsi="Arial" w:cs="Arial"/>
                      <w:color w:val="FFFFFF"/>
                    </w:rPr>
                    <w:br/>
                  </w:r>
                  <w:r>
                    <w:rPr>
                      <w:rFonts w:ascii="Arial" w:eastAsia="Times New Roman" w:hAnsi="Arial" w:cs="Arial"/>
                      <w:color w:val="FFFFFF"/>
                    </w:rPr>
                    <w:br/>
                  </w:r>
                  <w:r>
                    <w:rPr>
                      <w:rFonts w:ascii="Arial" w:eastAsia="Times New Roman" w:hAnsi="Arial" w:cs="Arial"/>
                      <w:b/>
                      <w:bCs/>
                      <w:color w:val="FFFFFF"/>
                    </w:rPr>
                    <w:t>Thursday, August 31, 2017</w:t>
                  </w:r>
                  <w:r>
                    <w:rPr>
                      <w:rFonts w:ascii="Arial" w:eastAsia="Times New Roman" w:hAnsi="Arial" w:cs="Arial"/>
                      <w:b/>
                      <w:bCs/>
                      <w:color w:val="FFFFFF"/>
                    </w:rPr>
                    <w:br/>
                    <w:t>3:00 pm - 4:00 pm (EST)</w:t>
                  </w:r>
                </w:p>
              </w:tc>
              <w:tc>
                <w:tcPr>
                  <w:tcW w:w="3750" w:type="dxa"/>
                  <w:shd w:val="clear" w:color="auto" w:fill="39344A"/>
                  <w:vAlign w:val="center"/>
                  <w:hideMark/>
                </w:tcPr>
                <w:p w:rsidR="002C5960" w:rsidRDefault="009D7667">
                  <w:pPr>
                    <w:jc w:val="center"/>
                    <w:rPr>
                      <w:rFonts w:ascii="Arial" w:eastAsia="Times New Roman" w:hAnsi="Arial" w:cs="Arial"/>
                      <w:color w:val="FFFFFF"/>
                    </w:rPr>
                  </w:pPr>
                  <w:r>
                    <w:rPr>
                      <w:rFonts w:ascii="Arial" w:eastAsia="Times New Roman" w:hAnsi="Arial" w:cs="Arial"/>
                      <w:noProof/>
                      <w:color w:val="FFFFFF"/>
                    </w:rPr>
                    <w:drawing>
                      <wp:inline distT="0" distB="0" distL="0" distR="0">
                        <wp:extent cx="2381250" cy="2069592"/>
                        <wp:effectExtent l="0" t="0" r="0" b="6985"/>
                        <wp:docPr id="4" name="Picture 4" descr="https://www.theknowledgegroup.org/system/images/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heknowledgegroup.org/system/images/technology.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381250" cy="2069592"/>
                                </a:xfrm>
                                <a:prstGeom prst="rect">
                                  <a:avLst/>
                                </a:prstGeom>
                                <a:noFill/>
                                <a:ln>
                                  <a:noFill/>
                                </a:ln>
                              </pic:spPr>
                            </pic:pic>
                          </a:graphicData>
                        </a:graphic>
                      </wp:inline>
                    </w:drawing>
                  </w:r>
                </w:p>
              </w:tc>
            </w:tr>
          </w:tbl>
          <w:p w:rsidR="002C5960" w:rsidRDefault="002C5960">
            <w:pPr>
              <w:jc w:val="center"/>
              <w:rPr>
                <w:rFonts w:ascii="Arial" w:eastAsia="Times New Roman" w:hAnsi="Arial" w:cs="Arial"/>
                <w:vanish/>
              </w:rPr>
            </w:pPr>
          </w:p>
          <w:tbl>
            <w:tblPr>
              <w:tblW w:w="97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20"/>
              <w:gridCol w:w="105"/>
              <w:gridCol w:w="3825"/>
            </w:tblGrid>
            <w:tr w:rsidR="002C5960">
              <w:trPr>
                <w:tblCellSpacing w:w="15" w:type="dxa"/>
                <w:jc w:val="center"/>
              </w:trPr>
              <w:tc>
                <w:tcPr>
                  <w:tcW w:w="0" w:type="auto"/>
                  <w:shd w:val="clear" w:color="auto" w:fill="FFFFFF"/>
                  <w:tcMar>
                    <w:top w:w="300" w:type="dxa"/>
                    <w:left w:w="15" w:type="dxa"/>
                    <w:bottom w:w="15" w:type="dxa"/>
                    <w:right w:w="15" w:type="dxa"/>
                  </w:tcMar>
                  <w:hideMark/>
                </w:tcPr>
                <w:p w:rsidR="002C5960" w:rsidRDefault="009D7667">
                  <w:pPr>
                    <w:jc w:val="center"/>
                    <w:rPr>
                      <w:rStyle w:val="Hyperlink"/>
                      <w:color w:val="FFFFFF"/>
                      <w:u w:val="none"/>
                    </w:rPr>
                  </w:pPr>
                  <w:r>
                    <w:rPr>
                      <w:rFonts w:ascii="Arial" w:eastAsia="Times New Roman" w:hAnsi="Arial" w:cs="Arial"/>
                    </w:rPr>
                    <w:fldChar w:fldCharType="begin"/>
                  </w:r>
                  <w:r>
                    <w:rPr>
                      <w:rFonts w:ascii="Arial" w:eastAsia="Times New Roman" w:hAnsi="Arial" w:cs="Arial"/>
                    </w:rPr>
                    <w:instrText xml:space="preserve"> HYPERLINK "https://www.theknowledgegroup.org/checkout/?rid=pHICYe&amp;coupon=WADECLARK146677&amp;utm_source=FreePasses&amp;utm_medium=email" \t "_blank" </w:instrText>
                  </w:r>
                  <w:r>
                    <w:rPr>
                      <w:rFonts w:ascii="Arial" w:eastAsia="Times New Roman" w:hAnsi="Arial" w:cs="Arial"/>
                    </w:rPr>
                    <w:fldChar w:fldCharType="separate"/>
                  </w:r>
                </w:p>
                <w:p w:rsidR="002C5960" w:rsidRDefault="009D7667">
                  <w:pPr>
                    <w:shd w:val="clear" w:color="auto" w:fill="21960A"/>
                    <w:jc w:val="center"/>
                    <w:divId w:val="903103691"/>
                    <w:rPr>
                      <w:b/>
                      <w:bCs/>
                      <w:sz w:val="27"/>
                      <w:szCs w:val="27"/>
                    </w:rPr>
                  </w:pPr>
                  <w:r>
                    <w:rPr>
                      <w:rFonts w:ascii="Arial" w:eastAsia="Times New Roman" w:hAnsi="Arial" w:cs="Arial"/>
                      <w:b/>
                      <w:bCs/>
                      <w:color w:val="FFFFFF"/>
                      <w:sz w:val="27"/>
                      <w:szCs w:val="27"/>
                    </w:rPr>
                    <w:t>REGISTER NOW!</w:t>
                  </w:r>
                  <w:r>
                    <w:rPr>
                      <w:rFonts w:ascii="Arial" w:eastAsia="Times New Roman" w:hAnsi="Arial" w:cs="Arial"/>
                      <w:b/>
                      <w:bCs/>
                      <w:color w:val="FFFFFF"/>
                      <w:sz w:val="27"/>
                      <w:szCs w:val="27"/>
                    </w:rPr>
                    <w:br/>
                  </w:r>
                  <w:r>
                    <w:rPr>
                      <w:rFonts w:ascii="Arial" w:eastAsia="Times New Roman" w:hAnsi="Arial" w:cs="Arial"/>
                      <w:b/>
                      <w:bCs/>
                      <w:i/>
                      <w:iCs/>
                      <w:color w:val="000000"/>
                      <w:sz w:val="18"/>
                      <w:szCs w:val="18"/>
                    </w:rPr>
                    <w:t xml:space="preserve">Discount Code: </w:t>
                  </w:r>
                  <w:r>
                    <w:rPr>
                      <w:rFonts w:ascii="Arial" w:eastAsia="Times New Roman" w:hAnsi="Arial" w:cs="Arial"/>
                      <w:b/>
                      <w:bCs/>
                      <w:i/>
                      <w:iCs/>
                      <w:color w:val="FFFF99"/>
                      <w:sz w:val="18"/>
                      <w:szCs w:val="18"/>
                    </w:rPr>
                    <w:t> WADECLARK146677 </w:t>
                  </w:r>
                </w:p>
                <w:p w:rsidR="002C5960" w:rsidRDefault="009D7667">
                  <w:pPr>
                    <w:jc w:val="center"/>
                    <w:rPr>
                      <w:rFonts w:ascii="Arial" w:eastAsia="Times New Roman" w:hAnsi="Arial" w:cs="Arial"/>
                    </w:rPr>
                  </w:pPr>
                  <w:r>
                    <w:rPr>
                      <w:rFonts w:ascii="Arial" w:eastAsia="Times New Roman" w:hAnsi="Arial" w:cs="Arial"/>
                    </w:rPr>
                    <w:fldChar w:fldCharType="end"/>
                  </w:r>
                </w:p>
                <w:p w:rsidR="002C5960" w:rsidRDefault="009D7667">
                  <w:pPr>
                    <w:pStyle w:val="NormalWeb"/>
                    <w:divId w:val="30035385"/>
                    <w:rPr>
                      <w:rFonts w:ascii="Arial" w:hAnsi="Arial" w:cs="Arial"/>
                    </w:rPr>
                  </w:pPr>
                  <w:r>
                    <w:rPr>
                      <w:rFonts w:ascii="Arial" w:hAnsi="Arial" w:cs="Arial"/>
                    </w:rPr>
                    <w:t>To benefit from the European Commission’s adequacy determination, U.S. based companies need to join the EU-U.S. Privacy Shield Framework and are obliged to self-certify to the Department of Commerce and to publicly commit their compliance with the Framework’s requirements. Companies should strongly consider obtaining the certification since the European privacy laws are substantially stricter than those in the U.S.</w:t>
                  </w:r>
                </w:p>
                <w:p w:rsidR="002C5960" w:rsidRDefault="009D7667">
                  <w:pPr>
                    <w:pStyle w:val="NormalWeb"/>
                    <w:divId w:val="30035385"/>
                    <w:rPr>
                      <w:rFonts w:ascii="Arial" w:hAnsi="Arial" w:cs="Arial"/>
                    </w:rPr>
                  </w:pPr>
                  <w:r>
                    <w:rPr>
                      <w:rFonts w:ascii="Arial" w:hAnsi="Arial" w:cs="Arial"/>
                    </w:rPr>
                    <w:t>A Privacy Shield certification is critical in sidestepping investigations and fines.</w:t>
                  </w:r>
                </w:p>
                <w:p w:rsidR="002C5960" w:rsidRDefault="009D7667">
                  <w:pPr>
                    <w:pStyle w:val="NormalWeb"/>
                    <w:divId w:val="30035385"/>
                    <w:rPr>
                      <w:rFonts w:ascii="Arial" w:hAnsi="Arial" w:cs="Arial"/>
                    </w:rPr>
                  </w:pPr>
                  <w:r>
                    <w:rPr>
                      <w:rFonts w:ascii="Arial" w:hAnsi="Arial" w:cs="Arial"/>
                    </w:rPr>
                    <w:t xml:space="preserve">In this LIVE Webcast, a panel of distinguished professionals and thought leaders brought together by The Knowledge Group will help businesses obtaining personal data from European citizens to understand the important aspects of the EU-U.S. </w:t>
                  </w:r>
                  <w:r>
                    <w:rPr>
                      <w:rFonts w:ascii="Arial" w:hAnsi="Arial" w:cs="Arial"/>
                    </w:rPr>
                    <w:lastRenderedPageBreak/>
                    <w:t>Privacy Shield certification as well as best compliance practices to avoid potential risks and pitfalls.</w:t>
                  </w:r>
                </w:p>
                <w:p w:rsidR="002C5960" w:rsidRDefault="009D7667">
                  <w:pPr>
                    <w:pStyle w:val="NormalWeb"/>
                    <w:divId w:val="30035385"/>
                    <w:rPr>
                      <w:rFonts w:ascii="Arial" w:hAnsi="Arial" w:cs="Arial"/>
                    </w:rPr>
                  </w:pPr>
                  <w:r>
                    <w:rPr>
                      <w:rFonts w:ascii="Arial" w:hAnsi="Arial" w:cs="Arial"/>
                    </w:rPr>
                    <w:t>Key topics include:</w:t>
                  </w:r>
                </w:p>
                <w:p w:rsidR="002C5960" w:rsidRDefault="009D7667">
                  <w:pPr>
                    <w:numPr>
                      <w:ilvl w:val="0"/>
                      <w:numId w:val="1"/>
                    </w:numPr>
                    <w:spacing w:before="100" w:beforeAutospacing="1" w:after="100" w:afterAutospacing="1"/>
                    <w:divId w:val="30035385"/>
                    <w:rPr>
                      <w:rFonts w:ascii="Arial" w:eastAsia="Times New Roman" w:hAnsi="Arial" w:cs="Arial"/>
                    </w:rPr>
                  </w:pPr>
                  <w:r>
                    <w:rPr>
                      <w:rFonts w:ascii="Arial" w:eastAsia="Times New Roman" w:hAnsi="Arial" w:cs="Arial"/>
                    </w:rPr>
                    <w:t>The EU-U.S. Privacy Shield Framework</w:t>
                  </w:r>
                </w:p>
                <w:p w:rsidR="002C5960" w:rsidRDefault="009D7667">
                  <w:pPr>
                    <w:numPr>
                      <w:ilvl w:val="0"/>
                      <w:numId w:val="1"/>
                    </w:numPr>
                    <w:spacing w:before="100" w:beforeAutospacing="1" w:after="100" w:afterAutospacing="1"/>
                    <w:divId w:val="30035385"/>
                    <w:rPr>
                      <w:rFonts w:ascii="Arial" w:eastAsia="Times New Roman" w:hAnsi="Arial" w:cs="Arial"/>
                    </w:rPr>
                  </w:pPr>
                  <w:r>
                    <w:rPr>
                      <w:rFonts w:ascii="Arial" w:eastAsia="Times New Roman" w:hAnsi="Arial" w:cs="Arial"/>
                    </w:rPr>
                    <w:t>Adequacy Determination</w:t>
                  </w:r>
                </w:p>
                <w:p w:rsidR="002C5960" w:rsidRDefault="009D7667">
                  <w:pPr>
                    <w:numPr>
                      <w:ilvl w:val="0"/>
                      <w:numId w:val="1"/>
                    </w:numPr>
                    <w:spacing w:before="100" w:beforeAutospacing="1" w:after="100" w:afterAutospacing="1"/>
                    <w:divId w:val="30035385"/>
                    <w:rPr>
                      <w:rFonts w:ascii="Arial" w:eastAsia="Times New Roman" w:hAnsi="Arial" w:cs="Arial"/>
                    </w:rPr>
                  </w:pPr>
                  <w:r>
                    <w:rPr>
                      <w:rFonts w:ascii="Arial" w:eastAsia="Times New Roman" w:hAnsi="Arial" w:cs="Arial"/>
                    </w:rPr>
                    <w:t>European Privacy Laws</w:t>
                  </w:r>
                </w:p>
                <w:p w:rsidR="002C5960" w:rsidRDefault="009D7667">
                  <w:pPr>
                    <w:numPr>
                      <w:ilvl w:val="0"/>
                      <w:numId w:val="1"/>
                    </w:numPr>
                    <w:spacing w:before="100" w:beforeAutospacing="1" w:after="100" w:afterAutospacing="1"/>
                    <w:divId w:val="30035385"/>
                    <w:rPr>
                      <w:rFonts w:ascii="Arial" w:eastAsia="Times New Roman" w:hAnsi="Arial" w:cs="Arial"/>
                    </w:rPr>
                  </w:pPr>
                  <w:r>
                    <w:rPr>
                      <w:rFonts w:ascii="Arial" w:eastAsia="Times New Roman" w:hAnsi="Arial" w:cs="Arial"/>
                    </w:rPr>
                    <w:t>The Privacy Shield Certification – How to Get Started</w:t>
                  </w:r>
                </w:p>
                <w:p w:rsidR="002C5960" w:rsidRDefault="009D7667">
                  <w:pPr>
                    <w:numPr>
                      <w:ilvl w:val="0"/>
                      <w:numId w:val="1"/>
                    </w:numPr>
                    <w:spacing w:before="100" w:beforeAutospacing="1" w:after="100" w:afterAutospacing="1"/>
                    <w:divId w:val="30035385"/>
                    <w:rPr>
                      <w:rFonts w:ascii="Arial" w:eastAsia="Times New Roman" w:hAnsi="Arial" w:cs="Arial"/>
                    </w:rPr>
                  </w:pPr>
                  <w:r>
                    <w:rPr>
                      <w:rFonts w:ascii="Arial" w:eastAsia="Times New Roman" w:hAnsi="Arial" w:cs="Arial"/>
                    </w:rPr>
                    <w:t>Best Compliance Practices</w:t>
                  </w:r>
                </w:p>
                <w:p w:rsidR="002C5960" w:rsidRDefault="009D7667">
                  <w:pPr>
                    <w:divId w:val="30035385"/>
                    <w:rPr>
                      <w:rFonts w:ascii="Arial" w:eastAsia="Times New Roman" w:hAnsi="Arial" w:cs="Arial"/>
                    </w:rPr>
                  </w:pPr>
                  <w:r>
                    <w:rPr>
                      <w:rFonts w:ascii="Arial" w:eastAsia="Times New Roman" w:hAnsi="Arial" w:cs="Arial"/>
                    </w:rPr>
                    <w:br/>
                  </w:r>
                  <w:r>
                    <w:rPr>
                      <w:rFonts w:ascii="Arial" w:eastAsia="Times New Roman" w:hAnsi="Arial" w:cs="Arial"/>
                    </w:rPr>
                    <w:br/>
                  </w:r>
                </w:p>
              </w:tc>
              <w:tc>
                <w:tcPr>
                  <w:tcW w:w="75" w:type="dxa"/>
                  <w:shd w:val="clear" w:color="auto" w:fill="FFFFFF"/>
                  <w:vAlign w:val="center"/>
                  <w:hideMark/>
                </w:tcPr>
                <w:p w:rsidR="002C5960" w:rsidRDefault="002C5960">
                  <w:pPr>
                    <w:rPr>
                      <w:rFonts w:ascii="Arial" w:eastAsia="Times New Roman" w:hAnsi="Arial" w:cs="Arial"/>
                    </w:rPr>
                  </w:pPr>
                </w:p>
              </w:tc>
              <w:tc>
                <w:tcPr>
                  <w:tcW w:w="3750" w:type="dxa"/>
                  <w:shd w:val="clear" w:color="auto" w:fill="FFFFFF"/>
                  <w:hideMark/>
                </w:tcPr>
                <w:p w:rsidR="002C5960" w:rsidRDefault="002C5960">
                  <w:pPr>
                    <w:spacing w:after="240"/>
                    <w:rPr>
                      <w:rFonts w:ascii="Arial" w:eastAsia="Times New Roman" w:hAnsi="Arial" w:cs="Arial"/>
                    </w:rPr>
                  </w:pPr>
                </w:p>
                <w:p w:rsidR="002C5960" w:rsidRDefault="009D7667">
                  <w:pPr>
                    <w:pStyle w:val="Heading1"/>
                    <w:spacing w:before="0" w:beforeAutospacing="0" w:after="0" w:afterAutospacing="0"/>
                    <w:divId w:val="1677229309"/>
                    <w:rPr>
                      <w:rFonts w:ascii="Arial" w:eastAsia="Times New Roman" w:hAnsi="Arial" w:cs="Arial"/>
                      <w:color w:val="0580C4"/>
                      <w:sz w:val="27"/>
                      <w:szCs w:val="27"/>
                    </w:rPr>
                  </w:pPr>
                  <w:r>
                    <w:rPr>
                      <w:rFonts w:ascii="Arial" w:eastAsia="Times New Roman" w:hAnsi="Arial" w:cs="Arial"/>
                      <w:color w:val="0580C4"/>
                      <w:sz w:val="27"/>
                      <w:szCs w:val="27"/>
                    </w:rPr>
                    <w:t>Speakers:</w:t>
                  </w:r>
                </w:p>
                <w:p w:rsidR="002C5960" w:rsidRDefault="002C5960">
                  <w:pPr>
                    <w:spacing w:after="240"/>
                    <w:rPr>
                      <w:rFonts w:ascii="Arial" w:eastAsia="Times New Roman" w:hAnsi="Arial" w:cs="Arial"/>
                    </w:rPr>
                  </w:pPr>
                </w:p>
                <w:tbl>
                  <w:tblPr>
                    <w:tblW w:w="3750" w:type="dxa"/>
                    <w:jc w:val="center"/>
                    <w:tblCellSpacing w:w="15" w:type="dxa"/>
                    <w:tblCellMar>
                      <w:top w:w="15" w:type="dxa"/>
                      <w:left w:w="150" w:type="dxa"/>
                      <w:bottom w:w="150" w:type="dxa"/>
                      <w:right w:w="15" w:type="dxa"/>
                    </w:tblCellMar>
                    <w:tblLook w:val="04A0" w:firstRow="1" w:lastRow="0" w:firstColumn="1" w:lastColumn="0" w:noHBand="0" w:noVBand="1"/>
                  </w:tblPr>
                  <w:tblGrid>
                    <w:gridCol w:w="1857"/>
                    <w:gridCol w:w="1893"/>
                  </w:tblGrid>
                  <w:tr w:rsidR="002C5960">
                    <w:trPr>
                      <w:tblCellSpacing w:w="15" w:type="dxa"/>
                      <w:jc w:val="center"/>
                    </w:trPr>
                    <w:tc>
                      <w:tcPr>
                        <w:tcW w:w="0" w:type="auto"/>
                        <w:hideMark/>
                      </w:tcPr>
                      <w:p w:rsidR="002C5960" w:rsidRDefault="009D7667">
                        <w:pPr>
                          <w:divId w:val="911045718"/>
                          <w:rPr>
                            <w:rFonts w:ascii="Arial" w:eastAsia="Times New Roman" w:hAnsi="Arial" w:cs="Arial"/>
                            <w:sz w:val="18"/>
                            <w:szCs w:val="18"/>
                          </w:rPr>
                        </w:pPr>
                        <w:r>
                          <w:rPr>
                            <w:rFonts w:ascii="Arial" w:eastAsia="Times New Roman" w:hAnsi="Arial" w:cs="Arial"/>
                            <w:noProof/>
                            <w:sz w:val="18"/>
                            <w:szCs w:val="18"/>
                          </w:rPr>
                          <w:drawing>
                            <wp:inline distT="0" distB="0" distL="0" distR="0">
                              <wp:extent cx="952500" cy="1895475"/>
                              <wp:effectExtent l="0" t="0" r="0" b="9525"/>
                              <wp:docPr id="5" name="Picture 5" descr="Speaker_Robert_Cosgrove_2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aker_Robert_Cosgrove_2017.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1895475"/>
                                      </a:xfrm>
                                      <a:prstGeom prst="rect">
                                        <a:avLst/>
                                      </a:prstGeom>
                                      <a:noFill/>
                                      <a:ln>
                                        <a:noFill/>
                                      </a:ln>
                                    </pic:spPr>
                                  </pic:pic>
                                </a:graphicData>
                              </a:graphic>
                            </wp:inline>
                          </w:drawing>
                        </w:r>
                        <w:r>
                          <w:rPr>
                            <w:rFonts w:ascii="Arial" w:eastAsia="Times New Roman" w:hAnsi="Arial" w:cs="Arial"/>
                            <w:sz w:val="18"/>
                            <w:szCs w:val="18"/>
                          </w:rPr>
                          <w:br/>
                        </w:r>
                        <w:r>
                          <w:rPr>
                            <w:rFonts w:ascii="Arial" w:eastAsia="Times New Roman" w:hAnsi="Arial" w:cs="Arial"/>
                            <w:b/>
                            <w:bCs/>
                            <w:sz w:val="18"/>
                            <w:szCs w:val="18"/>
                          </w:rPr>
                          <w:t>Robert J. Cosgrove</w:t>
                        </w:r>
                        <w:r>
                          <w:rPr>
                            <w:rFonts w:ascii="Arial" w:eastAsia="Times New Roman" w:hAnsi="Arial" w:cs="Arial"/>
                            <w:sz w:val="18"/>
                            <w:szCs w:val="18"/>
                          </w:rPr>
                          <w:br/>
                        </w:r>
                        <w:r>
                          <w:rPr>
                            <w:rFonts w:ascii="Arial" w:eastAsia="Times New Roman" w:hAnsi="Arial" w:cs="Arial"/>
                            <w:i/>
                            <w:iCs/>
                            <w:sz w:val="18"/>
                            <w:szCs w:val="18"/>
                          </w:rPr>
                          <w:t>Partner, CIPM, CIPP/US</w:t>
                        </w:r>
                        <w:r>
                          <w:rPr>
                            <w:rFonts w:ascii="Arial" w:eastAsia="Times New Roman" w:hAnsi="Arial" w:cs="Arial"/>
                            <w:sz w:val="18"/>
                            <w:szCs w:val="18"/>
                          </w:rPr>
                          <w:br/>
                          <w:t>Wade Clark Mulcahy</w:t>
                        </w:r>
                      </w:p>
                    </w:tc>
                    <w:tc>
                      <w:tcPr>
                        <w:tcW w:w="0" w:type="auto"/>
                        <w:hideMark/>
                      </w:tcPr>
                      <w:p w:rsidR="002C5960" w:rsidRDefault="009D7667">
                        <w:pPr>
                          <w:divId w:val="964851099"/>
                          <w:rPr>
                            <w:rFonts w:ascii="Arial" w:eastAsia="Times New Roman" w:hAnsi="Arial" w:cs="Arial"/>
                            <w:sz w:val="18"/>
                            <w:szCs w:val="18"/>
                          </w:rPr>
                        </w:pPr>
                        <w:r>
                          <w:rPr>
                            <w:rFonts w:ascii="Arial" w:eastAsia="Times New Roman" w:hAnsi="Arial" w:cs="Arial"/>
                            <w:noProof/>
                            <w:sz w:val="18"/>
                            <w:szCs w:val="18"/>
                          </w:rPr>
                          <w:drawing>
                            <wp:inline distT="0" distB="0" distL="0" distR="0">
                              <wp:extent cx="952500" cy="1905000"/>
                              <wp:effectExtent l="0" t="0" r="0" b="0"/>
                              <wp:docPr id="6" name="Picture 6" descr="Speaker_Monroe_Everett_2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aker_Monroe_Everett_2017.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1905000"/>
                                      </a:xfrm>
                                      <a:prstGeom prst="rect">
                                        <a:avLst/>
                                      </a:prstGeom>
                                      <a:noFill/>
                                      <a:ln>
                                        <a:noFill/>
                                      </a:ln>
                                    </pic:spPr>
                                  </pic:pic>
                                </a:graphicData>
                              </a:graphic>
                            </wp:inline>
                          </w:drawing>
                        </w:r>
                        <w:r>
                          <w:rPr>
                            <w:rFonts w:ascii="Arial" w:eastAsia="Times New Roman" w:hAnsi="Arial" w:cs="Arial"/>
                            <w:sz w:val="18"/>
                            <w:szCs w:val="18"/>
                          </w:rPr>
                          <w:br/>
                        </w:r>
                        <w:r>
                          <w:rPr>
                            <w:rFonts w:ascii="Arial" w:eastAsia="Times New Roman" w:hAnsi="Arial" w:cs="Arial"/>
                            <w:b/>
                            <w:bCs/>
                            <w:sz w:val="18"/>
                            <w:szCs w:val="18"/>
                          </w:rPr>
                          <w:t>Everett L. Monroe</w:t>
                        </w:r>
                        <w:r>
                          <w:rPr>
                            <w:rFonts w:ascii="Arial" w:eastAsia="Times New Roman" w:hAnsi="Arial" w:cs="Arial"/>
                            <w:sz w:val="18"/>
                            <w:szCs w:val="18"/>
                          </w:rPr>
                          <w:br/>
                        </w:r>
                        <w:r>
                          <w:rPr>
                            <w:rFonts w:ascii="Arial" w:eastAsia="Times New Roman" w:hAnsi="Arial" w:cs="Arial"/>
                            <w:i/>
                            <w:iCs/>
                            <w:sz w:val="18"/>
                            <w:szCs w:val="18"/>
                          </w:rPr>
                          <w:t>Attorney, CIPP/E, CIPP/G</w:t>
                        </w:r>
                        <w:r>
                          <w:rPr>
                            <w:rFonts w:ascii="Arial" w:eastAsia="Times New Roman" w:hAnsi="Arial" w:cs="Arial"/>
                            <w:sz w:val="18"/>
                            <w:szCs w:val="18"/>
                          </w:rPr>
                          <w:br/>
                          <w:t xml:space="preserve">Hanson Bridgett LLP </w:t>
                        </w:r>
                      </w:p>
                    </w:tc>
                  </w:tr>
                </w:tbl>
                <w:p w:rsidR="002C5960" w:rsidRDefault="002C5960">
                  <w:pPr>
                    <w:rPr>
                      <w:rFonts w:ascii="Arial" w:eastAsia="Times New Roman" w:hAnsi="Arial" w:cs="Arial"/>
                      <w:vanish/>
                    </w:rPr>
                  </w:pPr>
                </w:p>
                <w:tbl>
                  <w:tblPr>
                    <w:tblW w:w="1875" w:type="dxa"/>
                    <w:jc w:val="center"/>
                    <w:tblCellSpacing w:w="15" w:type="dxa"/>
                    <w:tblCellMar>
                      <w:top w:w="15" w:type="dxa"/>
                      <w:left w:w="150" w:type="dxa"/>
                      <w:bottom w:w="150" w:type="dxa"/>
                      <w:right w:w="15" w:type="dxa"/>
                    </w:tblCellMar>
                    <w:tblLook w:val="04A0" w:firstRow="1" w:lastRow="0" w:firstColumn="1" w:lastColumn="0" w:noHBand="0" w:noVBand="1"/>
                  </w:tblPr>
                  <w:tblGrid>
                    <w:gridCol w:w="1875"/>
                  </w:tblGrid>
                  <w:tr w:rsidR="002C5960">
                    <w:trPr>
                      <w:tblCellSpacing w:w="15" w:type="dxa"/>
                      <w:jc w:val="center"/>
                    </w:trPr>
                    <w:tc>
                      <w:tcPr>
                        <w:tcW w:w="0" w:type="auto"/>
                        <w:vAlign w:val="center"/>
                        <w:hideMark/>
                      </w:tcPr>
                      <w:p w:rsidR="002C5960" w:rsidRDefault="002C5960">
                        <w:pPr>
                          <w:rPr>
                            <w:rFonts w:ascii="Arial" w:eastAsia="Times New Roman" w:hAnsi="Arial" w:cs="Arial"/>
                          </w:rPr>
                        </w:pPr>
                      </w:p>
                    </w:tc>
                  </w:tr>
                </w:tbl>
                <w:p w:rsidR="002C5960" w:rsidRDefault="002C5960">
                  <w:pPr>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0"/>
                  </w:tblGrid>
                  <w:tr w:rsidR="002C5960">
                    <w:trPr>
                      <w:tblCellSpacing w:w="15" w:type="dxa"/>
                    </w:trPr>
                    <w:tc>
                      <w:tcPr>
                        <w:tcW w:w="3750" w:type="dxa"/>
                        <w:shd w:val="clear" w:color="auto" w:fill="39344A"/>
                        <w:tcMar>
                          <w:top w:w="120" w:type="dxa"/>
                          <w:left w:w="120" w:type="dxa"/>
                          <w:bottom w:w="120" w:type="dxa"/>
                          <w:right w:w="120" w:type="dxa"/>
                        </w:tcMar>
                        <w:vAlign w:val="center"/>
                        <w:hideMark/>
                      </w:tcPr>
                      <w:p w:rsidR="002C5960" w:rsidRDefault="009D7667">
                        <w:pPr>
                          <w:rPr>
                            <w:rFonts w:eastAsia="Times New Roman"/>
                            <w:color w:val="FFFFFF"/>
                          </w:rPr>
                        </w:pPr>
                        <w:r>
                          <w:rPr>
                            <w:rStyle w:val="Strong"/>
                            <w:rFonts w:eastAsia="Times New Roman"/>
                            <w:color w:val="FFFFFF"/>
                          </w:rPr>
                          <w:lastRenderedPageBreak/>
                          <w:t>Registration Fee:</w:t>
                        </w:r>
                        <w:r>
                          <w:rPr>
                            <w:rFonts w:eastAsia="Times New Roman"/>
                            <w:b/>
                            <w:bCs/>
                            <w:color w:val="FFFFFF"/>
                          </w:rPr>
                          <w:br/>
                        </w:r>
                        <w:r>
                          <w:rPr>
                            <w:rStyle w:val="Strong"/>
                            <w:rFonts w:eastAsia="Times New Roman"/>
                            <w:color w:val="D1C5F7"/>
                            <w:sz w:val="18"/>
                            <w:szCs w:val="18"/>
                          </w:rPr>
                          <w:t xml:space="preserve">Registration is FREE courtesy of Wade Clark Mulcahy. </w:t>
                        </w:r>
                      </w:p>
                      <w:p w:rsidR="002C5960" w:rsidRDefault="002C5960">
                        <w:pPr>
                          <w:jc w:val="center"/>
                          <w:rPr>
                            <w:rFonts w:eastAsia="Times New Roman"/>
                            <w:color w:val="FFFFFF"/>
                          </w:rPr>
                        </w:pPr>
                      </w:p>
                      <w:p w:rsidR="002C5960" w:rsidRDefault="00676627">
                        <w:pPr>
                          <w:jc w:val="center"/>
                          <w:divId w:val="2059431007"/>
                          <w:rPr>
                            <w:rFonts w:eastAsia="Times New Roman"/>
                            <w:color w:val="FFFFFF"/>
                          </w:rPr>
                        </w:pPr>
                        <w:hyperlink r:id="rId14" w:tgtFrame="_blank" w:history="1">
                          <w:r w:rsidR="009D7667">
                            <w:rPr>
                              <w:rStyle w:val="Hyperlink"/>
                              <w:rFonts w:eastAsia="Times New Roman"/>
                              <w:b/>
                              <w:bCs/>
                              <w:color w:val="C8DB1D"/>
                              <w:sz w:val="23"/>
                              <w:szCs w:val="23"/>
                              <w:u w:val="none"/>
                            </w:rPr>
                            <w:t>CLICK HERE TO REGISTER</w:t>
                          </w:r>
                        </w:hyperlink>
                        <w:r w:rsidR="009D7667">
                          <w:rPr>
                            <w:rFonts w:eastAsia="Times New Roman"/>
                            <w:color w:val="FFFFFF"/>
                          </w:rPr>
                          <w:br/>
                        </w:r>
                        <w:r w:rsidR="009D7667">
                          <w:rPr>
                            <w:rFonts w:eastAsia="Times New Roman"/>
                            <w:b/>
                            <w:bCs/>
                            <w:color w:val="FFFFFF"/>
                            <w:sz w:val="18"/>
                            <w:szCs w:val="18"/>
                          </w:rPr>
                          <w:t xml:space="preserve">Please enter discount code </w:t>
                        </w:r>
                        <w:r w:rsidR="009D7667">
                          <w:rPr>
                            <w:rFonts w:eastAsia="Times New Roman"/>
                            <w:b/>
                            <w:bCs/>
                            <w:color w:val="FF0000"/>
                            <w:sz w:val="18"/>
                            <w:szCs w:val="18"/>
                          </w:rPr>
                          <w:t> "WADECLARK146677" </w:t>
                        </w:r>
                        <w:r w:rsidR="009D7667">
                          <w:rPr>
                            <w:rFonts w:eastAsia="Times New Roman"/>
                            <w:b/>
                            <w:bCs/>
                            <w:color w:val="FFFFFF"/>
                            <w:sz w:val="18"/>
                            <w:szCs w:val="18"/>
                          </w:rPr>
                          <w:t xml:space="preserve"> to avail the free registration.</w:t>
                        </w:r>
                      </w:p>
                      <w:p w:rsidR="002C5960" w:rsidRDefault="002C5960">
                        <w:pPr>
                          <w:jc w:val="center"/>
                          <w:rPr>
                            <w:rFonts w:eastAsia="Times New Roman"/>
                            <w:color w:val="FFFFFF"/>
                          </w:rPr>
                        </w:pPr>
                      </w:p>
                      <w:p w:rsidR="002C5960" w:rsidRDefault="009D7667">
                        <w:pPr>
                          <w:spacing w:after="240"/>
                          <w:jc w:val="center"/>
                          <w:rPr>
                            <w:rFonts w:eastAsia="Times New Roman"/>
                            <w:color w:val="FFFFFF"/>
                            <w:sz w:val="18"/>
                            <w:szCs w:val="18"/>
                          </w:rPr>
                        </w:pPr>
                        <w:proofErr w:type="spellStart"/>
                        <w:r>
                          <w:rPr>
                            <w:rStyle w:val="Strong"/>
                            <w:rFonts w:eastAsia="Times New Roman"/>
                            <w:color w:val="FFFFFF"/>
                            <w:sz w:val="18"/>
                            <w:szCs w:val="18"/>
                          </w:rPr>
                          <w:t>Note:</w:t>
                        </w:r>
                        <w:r>
                          <w:rPr>
                            <w:rFonts w:eastAsia="Times New Roman"/>
                            <w:color w:val="FFFFFF"/>
                            <w:sz w:val="18"/>
                            <w:szCs w:val="18"/>
                          </w:rPr>
                          <w:t>If</w:t>
                        </w:r>
                        <w:proofErr w:type="spellEnd"/>
                        <w:r>
                          <w:rPr>
                            <w:rFonts w:eastAsia="Times New Roman"/>
                            <w:color w:val="FFFFFF"/>
                            <w:sz w:val="18"/>
                            <w:szCs w:val="18"/>
                          </w:rPr>
                          <w:t xml:space="preserve"> CE credit is needed, there is a minimal fee for processing. $50 for CLE, CPE, SHRM and other CE credit processing in all states except: $125 for CLE processing in the state of Virginia, $75 for CLE processing in Montana, South Carolina, and HRCI credit processing. Late penalty fees for IL, TX and WA not included. For more info, visit </w:t>
                        </w:r>
                        <w:hyperlink r:id="rId15" w:history="1">
                          <w:r>
                            <w:rPr>
                              <w:rStyle w:val="Hyperlink"/>
                              <w:rFonts w:eastAsia="Times New Roman"/>
                              <w:color w:val="47B5F6"/>
                              <w:sz w:val="18"/>
                              <w:szCs w:val="18"/>
                              <w:u w:val="none"/>
                            </w:rPr>
                            <w:t>https://www.theknowledgegroup.org/credit-info/</w:t>
                          </w:r>
                        </w:hyperlink>
                        <w:r>
                          <w:rPr>
                            <w:rFonts w:eastAsia="Times New Roman"/>
                            <w:color w:val="FFFFFF"/>
                            <w:sz w:val="18"/>
                            <w:szCs w:val="18"/>
                          </w:rPr>
                          <w:t xml:space="preserve"> or email </w:t>
                        </w:r>
                        <w:hyperlink r:id="rId16" w:history="1">
                          <w:r>
                            <w:rPr>
                              <w:rStyle w:val="Hyperlink"/>
                              <w:rFonts w:eastAsia="Times New Roman"/>
                              <w:color w:val="47B5F6"/>
                              <w:sz w:val="18"/>
                              <w:szCs w:val="18"/>
                              <w:u w:val="none"/>
                            </w:rPr>
                            <w:t>info@theknowledgegroup.org</w:t>
                          </w:r>
                        </w:hyperlink>
                        <w:r>
                          <w:rPr>
                            <w:rFonts w:eastAsia="Times New Roman"/>
                            <w:color w:val="FFFFFF"/>
                            <w:sz w:val="18"/>
                            <w:szCs w:val="18"/>
                          </w:rPr>
                          <w:br/>
                        </w:r>
                        <w:r>
                          <w:rPr>
                            <w:rFonts w:eastAsia="Times New Roman"/>
                            <w:color w:val="FFFFFF"/>
                            <w:sz w:val="18"/>
                            <w:szCs w:val="18"/>
                          </w:rPr>
                          <w:br/>
                        </w:r>
                        <w:r>
                          <w:rPr>
                            <w:rFonts w:eastAsia="Times New Roman"/>
                            <w:color w:val="FFFFFF"/>
                            <w:sz w:val="18"/>
                            <w:szCs w:val="18"/>
                          </w:rPr>
                          <w:br/>
                          <w:t>Please note, complimentary passes are available for the first 30 registrants. Once all of the passes are used, attendees can register for the deeply discounted rate of $25 each courtesy of Wade Clark Mulcahy.</w:t>
                        </w:r>
                      </w:p>
                    </w:tc>
                  </w:tr>
                </w:tbl>
                <w:p w:rsidR="002C5960" w:rsidRDefault="002C5960">
                  <w:pPr>
                    <w:rPr>
                      <w:rFonts w:ascii="Arial" w:eastAsia="Times New Roman" w:hAnsi="Arial" w:cs="Arial"/>
                    </w:rPr>
                  </w:pPr>
                </w:p>
              </w:tc>
            </w:tr>
          </w:tbl>
          <w:p w:rsidR="002C5960" w:rsidRDefault="002C5960">
            <w:pPr>
              <w:jc w:val="center"/>
              <w:rPr>
                <w:rFonts w:ascii="Arial" w:eastAsia="Times New Roman" w:hAnsi="Arial" w:cs="Arial"/>
              </w:rPr>
            </w:pPr>
          </w:p>
          <w:tbl>
            <w:tblPr>
              <w:tblW w:w="9750" w:type="dxa"/>
              <w:jc w:val="center"/>
              <w:tblCellSpacing w:w="0" w:type="dxa"/>
              <w:tblCellMar>
                <w:top w:w="15" w:type="dxa"/>
                <w:left w:w="15" w:type="dxa"/>
                <w:bottom w:w="15" w:type="dxa"/>
                <w:right w:w="15" w:type="dxa"/>
              </w:tblCellMar>
              <w:tblLook w:val="04A0" w:firstRow="1" w:lastRow="0" w:firstColumn="1" w:lastColumn="0" w:noHBand="0" w:noVBand="1"/>
            </w:tblPr>
            <w:tblGrid>
              <w:gridCol w:w="9750"/>
            </w:tblGrid>
            <w:tr w:rsidR="002C5960">
              <w:trPr>
                <w:tblCellSpacing w:w="0" w:type="dxa"/>
                <w:jc w:val="center"/>
              </w:trPr>
              <w:tc>
                <w:tcPr>
                  <w:tcW w:w="3250" w:type="pct"/>
                  <w:tcBorders>
                    <w:top w:val="nil"/>
                    <w:left w:val="nil"/>
                    <w:bottom w:val="nil"/>
                    <w:right w:val="nil"/>
                  </w:tcBorders>
                  <w:shd w:val="clear" w:color="auto" w:fill="E2EBEA"/>
                  <w:tcMar>
                    <w:top w:w="150" w:type="dxa"/>
                    <w:left w:w="150" w:type="dxa"/>
                    <w:bottom w:w="150" w:type="dxa"/>
                    <w:right w:w="150" w:type="dxa"/>
                  </w:tcMar>
                  <w:vAlign w:val="center"/>
                  <w:hideMark/>
                </w:tcPr>
                <w:p w:rsidR="002C5960" w:rsidRDefault="009D7667">
                  <w:pPr>
                    <w:divId w:val="955526080"/>
                    <w:rPr>
                      <w:rFonts w:ascii="Arial" w:eastAsia="Times New Roman" w:hAnsi="Arial" w:cs="Arial"/>
                      <w:sz w:val="17"/>
                      <w:szCs w:val="17"/>
                    </w:rPr>
                  </w:pPr>
                  <w:r>
                    <w:rPr>
                      <w:rFonts w:ascii="Arial" w:eastAsia="Times New Roman" w:hAnsi="Arial" w:cs="Arial"/>
                      <w:sz w:val="17"/>
                      <w:szCs w:val="17"/>
                    </w:rPr>
                    <w:t>The Knowledge Group is an organization that produces live webcasts which examine regulatory changes and their impacts across a variety of industries. "We bring together the world's leading authorities and industry participants through informative two-hour webcasts to study the impact of changing regulations."</w:t>
                  </w:r>
                  <w:r>
                    <w:rPr>
                      <w:rFonts w:ascii="Arial" w:eastAsia="Times New Roman" w:hAnsi="Arial" w:cs="Arial"/>
                      <w:sz w:val="17"/>
                      <w:szCs w:val="17"/>
                    </w:rPr>
                    <w:br/>
                  </w:r>
                  <w:r>
                    <w:rPr>
                      <w:rFonts w:ascii="Arial" w:eastAsia="Times New Roman" w:hAnsi="Arial" w:cs="Arial"/>
                      <w:sz w:val="17"/>
                      <w:szCs w:val="17"/>
                    </w:rPr>
                    <w:br/>
                  </w:r>
                  <w:r>
                    <w:rPr>
                      <w:rFonts w:ascii="Arial" w:eastAsia="Times New Roman" w:hAnsi="Arial" w:cs="Arial"/>
                      <w:i/>
                      <w:iCs/>
                      <w:sz w:val="17"/>
                      <w:szCs w:val="17"/>
                    </w:rPr>
                    <w:t xml:space="preserve">**For more information, please visit our </w:t>
                  </w:r>
                  <w:hyperlink r:id="rId17" w:history="1">
                    <w:r>
                      <w:rPr>
                        <w:rStyle w:val="Hyperlink"/>
                        <w:rFonts w:ascii="Arial" w:eastAsia="Times New Roman" w:hAnsi="Arial" w:cs="Arial"/>
                        <w:b/>
                        <w:bCs/>
                        <w:i/>
                        <w:iCs/>
                        <w:color w:val="47B5F6"/>
                        <w:sz w:val="17"/>
                        <w:szCs w:val="17"/>
                        <w:u w:val="none"/>
                      </w:rPr>
                      <w:t>website</w:t>
                    </w:r>
                  </w:hyperlink>
                  <w:r>
                    <w:rPr>
                      <w:rFonts w:ascii="Arial" w:eastAsia="Times New Roman" w:hAnsi="Arial" w:cs="Arial"/>
                      <w:i/>
                      <w:iCs/>
                      <w:sz w:val="17"/>
                      <w:szCs w:val="17"/>
                    </w:rPr>
                    <w:t xml:space="preserve">, call 1.800.578.4370 or email </w:t>
                  </w:r>
                  <w:hyperlink r:id="rId18" w:history="1">
                    <w:r>
                      <w:rPr>
                        <w:rStyle w:val="Hyperlink"/>
                        <w:rFonts w:ascii="Arial" w:eastAsia="Times New Roman" w:hAnsi="Arial" w:cs="Arial"/>
                        <w:b/>
                        <w:bCs/>
                        <w:i/>
                        <w:iCs/>
                        <w:color w:val="47B5F6"/>
                        <w:sz w:val="17"/>
                        <w:szCs w:val="17"/>
                        <w:u w:val="none"/>
                      </w:rPr>
                      <w:t>info@theknowledgegroup.org</w:t>
                    </w:r>
                  </w:hyperlink>
                  <w:r>
                    <w:rPr>
                      <w:rFonts w:ascii="Arial" w:eastAsia="Times New Roman" w:hAnsi="Arial" w:cs="Arial"/>
                      <w:i/>
                      <w:iCs/>
                      <w:sz w:val="17"/>
                      <w:szCs w:val="17"/>
                    </w:rPr>
                    <w:t>.</w:t>
                  </w:r>
                </w:p>
              </w:tc>
            </w:tr>
          </w:tbl>
          <w:p w:rsidR="002C5960" w:rsidRDefault="002C5960">
            <w:pPr>
              <w:jc w:val="center"/>
              <w:rPr>
                <w:rFonts w:ascii="Arial" w:eastAsia="Times New Roman" w:hAnsi="Arial" w:cs="Arial"/>
              </w:rPr>
            </w:pPr>
          </w:p>
          <w:tbl>
            <w:tblPr>
              <w:tblW w:w="97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1"/>
              <w:gridCol w:w="5459"/>
            </w:tblGrid>
            <w:tr w:rsidR="002C5960">
              <w:trPr>
                <w:tblCellSpacing w:w="15" w:type="dxa"/>
                <w:jc w:val="center"/>
              </w:trPr>
              <w:tc>
                <w:tcPr>
                  <w:tcW w:w="0" w:type="auto"/>
                  <w:shd w:val="clear" w:color="auto" w:fill="FFFFFF"/>
                  <w:vAlign w:val="center"/>
                  <w:hideMark/>
                </w:tcPr>
                <w:p w:rsidR="002C5960" w:rsidRDefault="009D7667">
                  <w:pPr>
                    <w:rPr>
                      <w:rFonts w:ascii="Arial" w:eastAsia="Times New Roman" w:hAnsi="Arial" w:cs="Arial"/>
                    </w:rPr>
                  </w:pPr>
                  <w:r>
                    <w:rPr>
                      <w:rFonts w:ascii="Arial" w:eastAsia="Times New Roman" w:hAnsi="Arial" w:cs="Arial"/>
                      <w:noProof/>
                    </w:rPr>
                    <w:drawing>
                      <wp:inline distT="0" distB="0" distL="0" distR="0">
                        <wp:extent cx="1905000" cy="647700"/>
                        <wp:effectExtent l="0" t="0" r="0" b="0"/>
                        <wp:docPr id="7" name="Picture 7" descr="https://www.theknowledgegroup.org/wp-content/uploads/2015/07/The_Knowledge_Grou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heknowledgegroup.org/wp-content/uploads/2015/07/The_Knowledge_Group2.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p>
              </w:tc>
              <w:tc>
                <w:tcPr>
                  <w:tcW w:w="0" w:type="auto"/>
                  <w:shd w:val="clear" w:color="auto" w:fill="FFFFFF"/>
                  <w:vAlign w:val="center"/>
                  <w:hideMark/>
                </w:tcPr>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834"/>
                  </w:tblGrid>
                  <w:tr w:rsidR="002C5960">
                    <w:trPr>
                      <w:tblCellSpacing w:w="15" w:type="dxa"/>
                    </w:trPr>
                    <w:tc>
                      <w:tcPr>
                        <w:tcW w:w="0" w:type="auto"/>
                        <w:vAlign w:val="center"/>
                        <w:hideMark/>
                      </w:tcPr>
                      <w:p w:rsidR="002C5960" w:rsidRDefault="009D7667">
                        <w:pPr>
                          <w:ind w:right="150"/>
                          <w:jc w:val="right"/>
                          <w:rPr>
                            <w:rFonts w:ascii="Arial" w:eastAsia="Times New Roman" w:hAnsi="Arial" w:cs="Arial"/>
                            <w:b/>
                            <w:bCs/>
                            <w:color w:val="333333"/>
                            <w:sz w:val="15"/>
                            <w:szCs w:val="15"/>
                          </w:rPr>
                        </w:pPr>
                        <w:r>
                          <w:rPr>
                            <w:rFonts w:ascii="Arial" w:eastAsia="Times New Roman" w:hAnsi="Arial" w:cs="Arial"/>
                            <w:b/>
                            <w:bCs/>
                            <w:color w:val="000099"/>
                            <w:sz w:val="18"/>
                            <w:szCs w:val="18"/>
                          </w:rPr>
                          <w:t>Follow:</w:t>
                        </w:r>
                        <w:r>
                          <w:rPr>
                            <w:rFonts w:ascii="Arial" w:eastAsia="Times New Roman" w:hAnsi="Arial" w:cs="Arial"/>
                            <w:b/>
                            <w:bCs/>
                            <w:color w:val="333333"/>
                            <w:sz w:val="15"/>
                            <w:szCs w:val="15"/>
                          </w:rPr>
                          <w:t xml:space="preserve"> </w:t>
                        </w:r>
                      </w:p>
                      <w:p w:rsidR="002C5960" w:rsidRDefault="009D7667">
                        <w:pPr>
                          <w:shd w:val="clear" w:color="auto" w:fill="33CCCC"/>
                          <w:ind w:right="150"/>
                          <w:jc w:val="right"/>
                          <w:divId w:val="1622686023"/>
                          <w:rPr>
                            <w:rFonts w:ascii="Arial" w:eastAsia="Times New Roman" w:hAnsi="Arial" w:cs="Arial"/>
                            <w:b/>
                            <w:bCs/>
                            <w:color w:val="333333"/>
                            <w:sz w:val="15"/>
                            <w:szCs w:val="15"/>
                          </w:rPr>
                        </w:pPr>
                        <w:r>
                          <w:rPr>
                            <w:rFonts w:ascii="Arial" w:eastAsia="Times New Roman" w:hAnsi="Arial" w:cs="Arial"/>
                            <w:b/>
                            <w:bCs/>
                            <w:noProof/>
                            <w:color w:val="0000FF"/>
                            <w:sz w:val="15"/>
                            <w:szCs w:val="15"/>
                          </w:rPr>
                          <w:drawing>
                            <wp:inline distT="0" distB="0" distL="0" distR="0">
                              <wp:extent cx="228600" cy="228600"/>
                              <wp:effectExtent l="0" t="0" r="0" b="0"/>
                              <wp:docPr id="8" name="Picture 8" descr="Follow me on Twitter">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me on Twitter">
                                        <a:hlinkClick r:id="rId20" tgtFrame="&quot;_blank&quot;"/>
                                      </pic:cNvPr>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b/>
                            <w:bCs/>
                            <w:noProof/>
                            <w:color w:val="0000FF"/>
                            <w:sz w:val="15"/>
                            <w:szCs w:val="15"/>
                          </w:rPr>
                          <w:drawing>
                            <wp:inline distT="0" distB="0" distL="0" distR="0">
                              <wp:extent cx="228600" cy="228600"/>
                              <wp:effectExtent l="0" t="0" r="0" b="0"/>
                              <wp:docPr id="9" name="Picture 9" descr="Follow my company on LinkedIn">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llow my company on LinkedIn">
                                        <a:hlinkClick r:id="rId22" tgtFrame="&quot;_blank&quot;"/>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b/>
                            <w:bCs/>
                            <w:noProof/>
                            <w:color w:val="0000FF"/>
                            <w:sz w:val="15"/>
                            <w:szCs w:val="15"/>
                          </w:rPr>
                          <w:drawing>
                            <wp:inline distT="0" distB="0" distL="0" distR="0">
                              <wp:extent cx="228600" cy="228600"/>
                              <wp:effectExtent l="0" t="0" r="0" b="0"/>
                              <wp:docPr id="10" name="Picture 10" descr="Friend me on Facebook">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iend me on Facebook">
                                        <a:hlinkClick r:id="rId24" tgtFrame="&quot;_blank&quot;"/>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2C5960">
                    <w:trPr>
                      <w:tblCellSpacing w:w="15" w:type="dxa"/>
                    </w:trPr>
                    <w:tc>
                      <w:tcPr>
                        <w:tcW w:w="0" w:type="auto"/>
                        <w:vAlign w:val="center"/>
                        <w:hideMark/>
                      </w:tcPr>
                      <w:p w:rsidR="002C5960" w:rsidRDefault="009D7667">
                        <w:pPr>
                          <w:jc w:val="right"/>
                          <w:rPr>
                            <w:rFonts w:ascii="Arial" w:eastAsia="Times New Roman" w:hAnsi="Arial" w:cs="Arial"/>
                            <w:b/>
                            <w:bCs/>
                            <w:color w:val="333333"/>
                            <w:sz w:val="15"/>
                            <w:szCs w:val="15"/>
                          </w:rPr>
                        </w:pPr>
                        <w:r>
                          <w:rPr>
                            <w:rFonts w:ascii="Arial" w:eastAsia="Times New Roman" w:hAnsi="Arial" w:cs="Arial"/>
                            <w:b/>
                            <w:bCs/>
                            <w:color w:val="333333"/>
                            <w:sz w:val="15"/>
                            <w:szCs w:val="15"/>
                          </w:rPr>
                          <w:t>The Knowledge Group</w:t>
                        </w:r>
                        <w:r>
                          <w:rPr>
                            <w:rFonts w:ascii="Arial" w:eastAsia="Times New Roman" w:hAnsi="Arial" w:cs="Arial"/>
                            <w:b/>
                            <w:bCs/>
                            <w:color w:val="333333"/>
                            <w:sz w:val="15"/>
                            <w:szCs w:val="15"/>
                          </w:rPr>
                          <w:br/>
                          <w:t xml:space="preserve">35 Journal Square, Suites 822, Jersey City, NJ 07306 </w:t>
                        </w:r>
                      </w:p>
                    </w:tc>
                  </w:tr>
                </w:tbl>
                <w:p w:rsidR="002C5960" w:rsidRDefault="002C5960">
                  <w:pPr>
                    <w:rPr>
                      <w:rFonts w:ascii="Arial" w:eastAsia="Times New Roman" w:hAnsi="Arial" w:cs="Arial"/>
                    </w:rPr>
                  </w:pPr>
                </w:p>
              </w:tc>
            </w:tr>
          </w:tbl>
          <w:p w:rsidR="002C5960" w:rsidRDefault="002C5960">
            <w:pPr>
              <w:jc w:val="center"/>
              <w:rPr>
                <w:rFonts w:ascii="Arial" w:eastAsia="Times New Roman" w:hAnsi="Arial" w:cs="Arial"/>
                <w:vanish/>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8436"/>
              <w:gridCol w:w="1314"/>
            </w:tblGrid>
            <w:tr w:rsidR="002C5960">
              <w:trPr>
                <w:tblCellSpacing w:w="15" w:type="dxa"/>
                <w:jc w:val="center"/>
              </w:trPr>
              <w:tc>
                <w:tcPr>
                  <w:tcW w:w="0" w:type="auto"/>
                  <w:vAlign w:val="center"/>
                  <w:hideMark/>
                </w:tcPr>
                <w:p w:rsidR="002C5960" w:rsidRDefault="009D7667">
                  <w:pPr>
                    <w:rPr>
                      <w:rFonts w:ascii="Arial" w:eastAsia="Times New Roman" w:hAnsi="Arial" w:cs="Arial"/>
                      <w:b/>
                      <w:bCs/>
                    </w:rPr>
                  </w:pPr>
                  <w:r>
                    <w:rPr>
                      <w:rFonts w:ascii="Arial" w:eastAsia="Times New Roman" w:hAnsi="Arial" w:cs="Arial"/>
                      <w:b/>
                      <w:bCs/>
                      <w:sz w:val="20"/>
                      <w:szCs w:val="20"/>
                    </w:rPr>
                    <w:t>The Knowledge Group Webcast Invitation</w:t>
                  </w:r>
                  <w:r>
                    <w:rPr>
                      <w:rFonts w:ascii="Arial" w:eastAsia="Times New Roman" w:hAnsi="Arial" w:cs="Arial"/>
                      <w:b/>
                      <w:bCs/>
                    </w:rPr>
                    <w:br/>
                  </w:r>
                  <w:r>
                    <w:rPr>
                      <w:rFonts w:ascii="Arial" w:eastAsia="Times New Roman" w:hAnsi="Arial" w:cs="Arial"/>
                      <w:b/>
                      <w:bCs/>
                      <w:sz w:val="15"/>
                      <w:szCs w:val="15"/>
                    </w:rPr>
                    <w:t>Copyright 2017-2018 | The Knowledge Group. All Rights Reserved. Privacy Policy</w:t>
                  </w:r>
                </w:p>
              </w:tc>
              <w:tc>
                <w:tcPr>
                  <w:tcW w:w="0" w:type="auto"/>
                  <w:vAlign w:val="center"/>
                  <w:hideMark/>
                </w:tcPr>
                <w:p w:rsidR="002C5960" w:rsidRDefault="009D7667">
                  <w:pPr>
                    <w:jc w:val="right"/>
                    <w:rPr>
                      <w:rFonts w:ascii="Arial" w:eastAsia="Times New Roman" w:hAnsi="Arial" w:cs="Arial"/>
                      <w:b/>
                      <w:bCs/>
                    </w:rPr>
                  </w:pPr>
                  <w:r>
                    <w:rPr>
                      <w:rFonts w:ascii="Arial" w:eastAsia="Times New Roman" w:hAnsi="Arial" w:cs="Arial"/>
                      <w:b/>
                      <w:bCs/>
                      <w:sz w:val="15"/>
                      <w:szCs w:val="15"/>
                    </w:rPr>
                    <w:t xml:space="preserve">View </w:t>
                  </w:r>
                  <w:hyperlink r:id="rId26" w:history="1">
                    <w:r>
                      <w:rPr>
                        <w:rStyle w:val="Hyperlink"/>
                        <w:rFonts w:ascii="Arial" w:eastAsia="Times New Roman" w:hAnsi="Arial" w:cs="Arial"/>
                        <w:b/>
                        <w:bCs/>
                        <w:color w:val="FF0000"/>
                        <w:sz w:val="15"/>
                        <w:szCs w:val="15"/>
                      </w:rPr>
                      <w:t>Online</w:t>
                    </w:r>
                  </w:hyperlink>
                </w:p>
              </w:tc>
            </w:tr>
          </w:tbl>
          <w:p w:rsidR="002C5960" w:rsidRDefault="002C5960">
            <w:pPr>
              <w:jc w:val="center"/>
              <w:rPr>
                <w:rFonts w:ascii="Arial" w:eastAsia="Times New Roman" w:hAnsi="Arial" w:cs="Arial"/>
              </w:rPr>
            </w:pPr>
          </w:p>
        </w:tc>
      </w:tr>
    </w:tbl>
    <w:p w:rsidR="009D7667" w:rsidRDefault="009D7667">
      <w:pPr>
        <w:rPr>
          <w:rFonts w:eastAsia="Times New Roman"/>
        </w:rPr>
      </w:pPr>
    </w:p>
    <w:sectPr w:rsidR="009D7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459E3"/>
    <w:multiLevelType w:val="multilevel"/>
    <w:tmpl w:val="423C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75"/>
    <w:rsid w:val="002C5960"/>
    <w:rsid w:val="00676627"/>
    <w:rsid w:val="009D7667"/>
    <w:rsid w:val="00F2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34B9B1-266A-448D-8B45-AC42DCBE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5385">
      <w:marLeft w:val="75"/>
      <w:marRight w:val="75"/>
      <w:marTop w:val="150"/>
      <w:marBottom w:val="75"/>
      <w:divBdr>
        <w:top w:val="none" w:sz="0" w:space="0" w:color="auto"/>
        <w:left w:val="none" w:sz="0" w:space="0" w:color="auto"/>
        <w:bottom w:val="none" w:sz="0" w:space="0" w:color="auto"/>
        <w:right w:val="none" w:sz="0" w:space="0" w:color="auto"/>
      </w:divBdr>
    </w:div>
    <w:div w:id="903103691">
      <w:marLeft w:val="75"/>
      <w:marRight w:val="75"/>
      <w:marTop w:val="75"/>
      <w:marBottom w:val="75"/>
      <w:divBdr>
        <w:top w:val="none" w:sz="0" w:space="0" w:color="auto"/>
        <w:left w:val="none" w:sz="0" w:space="0" w:color="auto"/>
        <w:bottom w:val="none" w:sz="0" w:space="0" w:color="auto"/>
        <w:right w:val="none" w:sz="0" w:space="0" w:color="auto"/>
      </w:divBdr>
    </w:div>
    <w:div w:id="911045718">
      <w:marLeft w:val="0"/>
      <w:marRight w:val="0"/>
      <w:marTop w:val="0"/>
      <w:marBottom w:val="0"/>
      <w:divBdr>
        <w:top w:val="none" w:sz="0" w:space="0" w:color="auto"/>
        <w:left w:val="none" w:sz="0" w:space="0" w:color="auto"/>
        <w:bottom w:val="none" w:sz="0" w:space="0" w:color="auto"/>
        <w:right w:val="none" w:sz="0" w:space="0" w:color="auto"/>
      </w:divBdr>
    </w:div>
    <w:div w:id="955526080">
      <w:marLeft w:val="0"/>
      <w:marRight w:val="0"/>
      <w:marTop w:val="0"/>
      <w:marBottom w:val="0"/>
      <w:divBdr>
        <w:top w:val="none" w:sz="0" w:space="0" w:color="auto"/>
        <w:left w:val="none" w:sz="0" w:space="0" w:color="auto"/>
        <w:bottom w:val="none" w:sz="0" w:space="0" w:color="auto"/>
        <w:right w:val="none" w:sz="0" w:space="0" w:color="auto"/>
      </w:divBdr>
    </w:div>
    <w:div w:id="964851099">
      <w:marLeft w:val="0"/>
      <w:marRight w:val="0"/>
      <w:marTop w:val="0"/>
      <w:marBottom w:val="0"/>
      <w:divBdr>
        <w:top w:val="none" w:sz="0" w:space="0" w:color="auto"/>
        <w:left w:val="none" w:sz="0" w:space="0" w:color="auto"/>
        <w:bottom w:val="none" w:sz="0" w:space="0" w:color="auto"/>
        <w:right w:val="none" w:sz="0" w:space="0" w:color="auto"/>
      </w:divBdr>
    </w:div>
    <w:div w:id="1622686023">
      <w:marLeft w:val="0"/>
      <w:marRight w:val="0"/>
      <w:marTop w:val="0"/>
      <w:marBottom w:val="0"/>
      <w:divBdr>
        <w:top w:val="none" w:sz="0" w:space="0" w:color="auto"/>
        <w:left w:val="none" w:sz="0" w:space="0" w:color="auto"/>
        <w:bottom w:val="none" w:sz="0" w:space="0" w:color="auto"/>
        <w:right w:val="none" w:sz="0" w:space="0" w:color="auto"/>
      </w:divBdr>
    </w:div>
    <w:div w:id="1677229309">
      <w:marLeft w:val="0"/>
      <w:marRight w:val="0"/>
      <w:marTop w:val="0"/>
      <w:marBottom w:val="0"/>
      <w:divBdr>
        <w:top w:val="none" w:sz="0" w:space="0" w:color="auto"/>
        <w:left w:val="none" w:sz="0" w:space="0" w:color="auto"/>
        <w:bottom w:val="none" w:sz="0" w:space="0" w:color="auto"/>
        <w:right w:val="none" w:sz="0" w:space="0" w:color="auto"/>
      </w:divBdr>
    </w:div>
    <w:div w:id="205943100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theknowledgegroup.org/wp-content/uploads/2015/12/The_Knowledge_Group2_with_tagline.jpg" TargetMode="External"/><Relationship Id="rId13" Type="http://schemas.openxmlformats.org/officeDocument/2006/relationships/image" Target="https://www.theknowledgegroup.org/wp-content/uploads/images/Speaker_Monroe_Everett_2017.gif" TargetMode="External"/><Relationship Id="rId18" Type="http://schemas.openxmlformats.org/officeDocument/2006/relationships/hyperlink" Target="mailto:info@theknowledgegroup.org" TargetMode="External"/><Relationship Id="rId26" Type="http://schemas.openxmlformats.org/officeDocument/2006/relationships/hyperlink" Target="https://www.theknowledgegroup.org/invites_view/invite_speakerfirm_2017.php?id=5461&amp;utm_source=FreePasses&amp;utm_medium=email" TargetMode="External"/><Relationship Id="rId3" Type="http://schemas.openxmlformats.org/officeDocument/2006/relationships/settings" Target="settings.xml"/><Relationship Id="rId21" Type="http://schemas.openxmlformats.org/officeDocument/2006/relationships/image" Target="https://www.theknowledgegroup.org/wp-content/plugins/social-sharing-toolkit/images/icons_medium/twitter.png" TargetMode="External"/><Relationship Id="rId7" Type="http://schemas.openxmlformats.org/officeDocument/2006/relationships/hyperlink" Target="https://www.theknowledgegroup.org/?utm_source=FreePasses&amp;utm_medium=email" TargetMode="External"/><Relationship Id="rId12" Type="http://schemas.openxmlformats.org/officeDocument/2006/relationships/image" Target="https://www.theknowledgegroup.org/wp-content/uploads/images/Speaker_Robert_Cosgrove_2017.gif" TargetMode="External"/><Relationship Id="rId17" Type="http://schemas.openxmlformats.org/officeDocument/2006/relationships/hyperlink" Target="https://www.theknowledgegroup.org/all-events-list/?utm_source=FreePasses&amp;utm_medium=email" TargetMode="External"/><Relationship Id="rId25" Type="http://schemas.openxmlformats.org/officeDocument/2006/relationships/image" Target="https://www.theknowledgegroup.org/wp-content/plugins/social-sharing-toolkit/images/icons_medium/facebook.png" TargetMode="External"/><Relationship Id="rId2" Type="http://schemas.openxmlformats.org/officeDocument/2006/relationships/styles" Target="styles.xml"/><Relationship Id="rId16" Type="http://schemas.openxmlformats.org/officeDocument/2006/relationships/hyperlink" Target="mailto:info@theknowledgegroup.org" TargetMode="External"/><Relationship Id="rId20" Type="http://schemas.openxmlformats.org/officeDocument/2006/relationships/hyperlink" Target="https://twitter.com/know_group" TargetMode="External"/><Relationship Id="rId1" Type="http://schemas.openxmlformats.org/officeDocument/2006/relationships/numbering" Target="numbering.xml"/><Relationship Id="rId6" Type="http://schemas.openxmlformats.org/officeDocument/2006/relationships/hyperlink" Target="https://www.theknowledgegroup.org/unsubscribe/?id=2831&amp;utm_source=FreePasses&amp;utm_medium=email" TargetMode="External"/><Relationship Id="rId11" Type="http://schemas.openxmlformats.org/officeDocument/2006/relationships/image" Target="https://www.theknowledgegroup.org/system/images/technology.jpg" TargetMode="External"/><Relationship Id="rId24" Type="http://schemas.openxmlformats.org/officeDocument/2006/relationships/hyperlink" Target="//www.facebook.com/pages/The-Knowledge-Group-LLC/554596607987034" TargetMode="External"/><Relationship Id="rId5" Type="http://schemas.openxmlformats.org/officeDocument/2006/relationships/hyperlink" Target="https://www.theknowledgegroup.org/invites_view/invite_speakerfirm_2017.php?id=5461&amp;utm_source=FreePasses&amp;utm_medium=email" TargetMode="External"/><Relationship Id="rId15" Type="http://schemas.openxmlformats.org/officeDocument/2006/relationships/hyperlink" Target="https://www.theknowledgegroup.org/credit-info/?utm_source=FreePasses&amp;utm_medium=email" TargetMode="External"/><Relationship Id="rId23" Type="http://schemas.openxmlformats.org/officeDocument/2006/relationships/image" Target="https://www.theknowledgegroup.org/wp-content/plugins/social-sharing-toolkit/images/icons_medium/linkedin.png" TargetMode="External"/><Relationship Id="rId28" Type="http://schemas.openxmlformats.org/officeDocument/2006/relationships/theme" Target="theme/theme1.xml"/><Relationship Id="rId10" Type="http://schemas.openxmlformats.org/officeDocument/2006/relationships/image" Target="https://www.theknowledgegroup.org/wp-content/uploads/images/Logo_WCM_2017.gif" TargetMode="External"/><Relationship Id="rId19" Type="http://schemas.openxmlformats.org/officeDocument/2006/relationships/image" Target="https://www.theknowledgegroup.org/wp-content/uploads/2015/07/The_Knowledge_Group2.png" TargetMode="External"/><Relationship Id="rId4" Type="http://schemas.openxmlformats.org/officeDocument/2006/relationships/webSettings" Target="webSettings.xml"/><Relationship Id="rId9" Type="http://schemas.openxmlformats.org/officeDocument/2006/relationships/image" Target="https://www.theknowledgegroup.org/wp-content/uploads/images/Logo_HansonBridgett_2016.gif" TargetMode="External"/><Relationship Id="rId14" Type="http://schemas.openxmlformats.org/officeDocument/2006/relationships/hyperlink" Target="https://www.theknowledgegroup.org/checkout/?rid=pHICYe&amp;coupon=WADECLARK146677&amp;utm_source=FreePasses&amp;utm_medium=email" TargetMode="External"/><Relationship Id="rId22" Type="http://schemas.openxmlformats.org/officeDocument/2006/relationships/hyperlink" Target="http://www.linkedin.com/company/the-knowledge-congres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Intelliwork-4</dc:creator>
  <cp:keywords/>
  <dc:description/>
  <cp:lastModifiedBy>Robert Cosgrove</cp:lastModifiedBy>
  <cp:revision>2</cp:revision>
  <cp:lastPrinted>2017-07-21T09:05:00Z</cp:lastPrinted>
  <dcterms:created xsi:type="dcterms:W3CDTF">2017-08-09T16:25:00Z</dcterms:created>
  <dcterms:modified xsi:type="dcterms:W3CDTF">2017-08-09T16:25:00Z</dcterms:modified>
</cp:coreProperties>
</file>