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000" w:type="pct"/>
        <w:jc w:val="center"/>
        <w:tblCellSpacing w:w="15" w:type="dxa"/>
        <w:tblBorders>
          <w:top w:val="outset" w:sz="6" w:space="0" w:color="auto"/>
          <w:left w:val="outset" w:sz="6" w:space="0" w:color="auto"/>
          <w:bottom w:val="outset" w:sz="6" w:space="0" w:color="auto"/>
          <w:right w:val="outset" w:sz="6" w:space="0" w:color="auto"/>
        </w:tblBorders>
        <w:shd w:val="clear" w:color="auto" w:fill="FFFF80"/>
        <w:tblCellMar>
          <w:top w:w="75" w:type="dxa"/>
          <w:left w:w="75" w:type="dxa"/>
          <w:bottom w:w="75" w:type="dxa"/>
          <w:right w:w="75" w:type="dxa"/>
        </w:tblCellMar>
        <w:tblLook w:val="04A0" w:firstRow="1" w:lastRow="0" w:firstColumn="1" w:lastColumn="0" w:noHBand="0" w:noVBand="1"/>
      </w:tblPr>
      <w:tblGrid>
        <w:gridCol w:w="7475"/>
      </w:tblGrid>
      <w:tr w:rsidR="008D1657" w14:paraId="58352BE8" w14:textId="77777777" w:rsidTr="008D165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80"/>
            <w:vAlign w:val="center"/>
            <w:hideMark/>
          </w:tcPr>
          <w:p w14:paraId="1BE91772" w14:textId="77777777" w:rsidR="008D1657" w:rsidRDefault="008D1657">
            <w:pPr>
              <w:jc w:val="center"/>
            </w:pPr>
            <w:bookmarkStart w:id="0" w:name="_GoBack"/>
            <w:bookmarkEnd w:id="0"/>
            <w:r>
              <w:rPr>
                <w:b/>
                <w:bCs/>
              </w:rPr>
              <w:t>Harris v Kay</w:t>
            </w:r>
          </w:p>
        </w:tc>
      </w:tr>
      <w:tr w:rsidR="008D1657" w14:paraId="25975131" w14:textId="77777777" w:rsidTr="008D165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80"/>
            <w:vAlign w:val="center"/>
            <w:hideMark/>
          </w:tcPr>
          <w:p w14:paraId="0AE245AA" w14:textId="77777777" w:rsidR="008D1657" w:rsidRDefault="008D1657">
            <w:pPr>
              <w:jc w:val="center"/>
            </w:pPr>
            <w:r>
              <w:t>2019 NY Slip Op 00044</w:t>
            </w:r>
          </w:p>
        </w:tc>
      </w:tr>
      <w:tr w:rsidR="008D1657" w14:paraId="18E15C53" w14:textId="77777777" w:rsidTr="008D165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80"/>
            <w:vAlign w:val="center"/>
            <w:hideMark/>
          </w:tcPr>
          <w:p w14:paraId="391294C0" w14:textId="77777777" w:rsidR="008D1657" w:rsidRDefault="008D1657">
            <w:pPr>
              <w:jc w:val="center"/>
            </w:pPr>
            <w:r>
              <w:t>Decided on January 3, 2019</w:t>
            </w:r>
          </w:p>
        </w:tc>
      </w:tr>
      <w:tr w:rsidR="008D1657" w14:paraId="3D4D1A0A" w14:textId="77777777" w:rsidTr="008D165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80"/>
            <w:vAlign w:val="center"/>
            <w:hideMark/>
          </w:tcPr>
          <w:p w14:paraId="189F9613" w14:textId="77777777" w:rsidR="008D1657" w:rsidRDefault="008D1657">
            <w:pPr>
              <w:jc w:val="center"/>
            </w:pPr>
            <w:r>
              <w:t>Appellate Division, First Department</w:t>
            </w:r>
          </w:p>
        </w:tc>
      </w:tr>
      <w:tr w:rsidR="008D1657" w14:paraId="02D6C330" w14:textId="77777777" w:rsidTr="008D165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80"/>
            <w:vAlign w:val="center"/>
            <w:hideMark/>
          </w:tcPr>
          <w:p w14:paraId="51ECC1E1" w14:textId="77777777" w:rsidR="008D1657" w:rsidRDefault="008D1657">
            <w:pPr>
              <w:jc w:val="center"/>
            </w:pPr>
            <w:r>
              <w:rPr>
                <w:color w:val="FF0000"/>
              </w:rPr>
              <w:t>Published by </w:t>
            </w:r>
            <w:hyperlink r:id="rId5" w:history="1">
              <w:r>
                <w:rPr>
                  <w:rStyle w:val="Hyperlink"/>
                </w:rPr>
                <w:t>New York State Law Reporting Bureau</w:t>
              </w:r>
            </w:hyperlink>
            <w:r>
              <w:rPr>
                <w:color w:val="FF0000"/>
              </w:rPr>
              <w:t> pursuant to Judiciary Law § 431.</w:t>
            </w:r>
          </w:p>
        </w:tc>
      </w:tr>
      <w:tr w:rsidR="008D1657" w14:paraId="2956A303" w14:textId="77777777" w:rsidTr="008D165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80"/>
            <w:vAlign w:val="center"/>
            <w:hideMark/>
          </w:tcPr>
          <w:p w14:paraId="040AB1E0" w14:textId="77777777" w:rsidR="008D1657" w:rsidRDefault="008D1657">
            <w:pPr>
              <w:jc w:val="center"/>
            </w:pPr>
            <w:r>
              <w:rPr>
                <w:color w:val="FF0000"/>
              </w:rPr>
              <w:t>This opinion is uncorrected and subject to revision before publication in the Official Reports.</w:t>
            </w:r>
          </w:p>
        </w:tc>
      </w:tr>
    </w:tbl>
    <w:p w14:paraId="7BB8833E" w14:textId="77777777" w:rsidR="008D1657" w:rsidRDefault="008D1657" w:rsidP="008D1657">
      <w:r>
        <w:rPr>
          <w:color w:val="000000"/>
          <w:sz w:val="29"/>
          <w:szCs w:val="29"/>
        </w:rPr>
        <w:br/>
      </w:r>
      <w:r>
        <w:t>Decided on January 3, 2019</w:t>
      </w:r>
      <w:r>
        <w:rPr>
          <w:color w:val="000000"/>
          <w:sz w:val="29"/>
          <w:szCs w:val="29"/>
          <w:shd w:val="clear" w:color="auto" w:fill="FFFFFF"/>
        </w:rPr>
        <w:t> </w:t>
      </w:r>
      <w:r>
        <w:rPr>
          <w:color w:val="000000"/>
          <w:sz w:val="29"/>
          <w:szCs w:val="29"/>
        </w:rPr>
        <w:br/>
      </w:r>
      <w:r>
        <w:rPr>
          <w:color w:val="000000"/>
          <w:sz w:val="29"/>
          <w:szCs w:val="29"/>
          <w:shd w:val="clear" w:color="auto" w:fill="FFFFFF"/>
        </w:rPr>
        <w:t xml:space="preserve">Sweeny, J.P., </w:t>
      </w:r>
      <w:proofErr w:type="spellStart"/>
      <w:r>
        <w:rPr>
          <w:color w:val="000000"/>
          <w:sz w:val="29"/>
          <w:szCs w:val="29"/>
          <w:shd w:val="clear" w:color="auto" w:fill="FFFFFF"/>
        </w:rPr>
        <w:t>Gische</w:t>
      </w:r>
      <w:proofErr w:type="spellEnd"/>
      <w:r>
        <w:rPr>
          <w:color w:val="000000"/>
          <w:sz w:val="29"/>
          <w:szCs w:val="29"/>
          <w:shd w:val="clear" w:color="auto" w:fill="FFFFFF"/>
        </w:rPr>
        <w:t xml:space="preserve">, Kahn, </w:t>
      </w:r>
      <w:proofErr w:type="spellStart"/>
      <w:r>
        <w:rPr>
          <w:color w:val="000000"/>
          <w:sz w:val="29"/>
          <w:szCs w:val="29"/>
          <w:shd w:val="clear" w:color="auto" w:fill="FFFFFF"/>
        </w:rPr>
        <w:t>Oing</w:t>
      </w:r>
      <w:proofErr w:type="spellEnd"/>
      <w:r>
        <w:rPr>
          <w:color w:val="000000"/>
          <w:sz w:val="29"/>
          <w:szCs w:val="29"/>
          <w:shd w:val="clear" w:color="auto" w:fill="FFFFFF"/>
        </w:rPr>
        <w:t>, Singh, JJ.</w:t>
      </w:r>
    </w:p>
    <w:p w14:paraId="708FD852" w14:textId="77777777" w:rsidR="008D1657" w:rsidRDefault="008D1657" w:rsidP="008D1657">
      <w:r>
        <w:rPr>
          <w:color w:val="000000"/>
          <w:sz w:val="29"/>
          <w:szCs w:val="29"/>
          <w:shd w:val="clear" w:color="auto" w:fill="FFFFFF"/>
        </w:rPr>
        <w:t>8003 17097/06 </w:t>
      </w:r>
      <w:r>
        <w:rPr>
          <w:color w:val="000000"/>
          <w:sz w:val="29"/>
          <w:szCs w:val="29"/>
        </w:rPr>
        <w:br/>
      </w:r>
    </w:p>
    <w:p w14:paraId="596AAE82" w14:textId="77777777" w:rsidR="008D1657" w:rsidRPr="008D1657" w:rsidRDefault="008D1657" w:rsidP="008D1657">
      <w:pPr>
        <w:jc w:val="center"/>
        <w:rPr>
          <w:color w:val="000000"/>
          <w:sz w:val="29"/>
          <w:szCs w:val="29"/>
        </w:rPr>
      </w:pPr>
      <w:r>
        <w:rPr>
          <w:b/>
          <w:bCs/>
          <w:color w:val="FF0000"/>
          <w:sz w:val="27"/>
          <w:szCs w:val="27"/>
        </w:rPr>
        <w:t>[*1]</w:t>
      </w:r>
      <w:proofErr w:type="spellStart"/>
      <w:r>
        <w:rPr>
          <w:b/>
          <w:bCs/>
          <w:color w:val="000000"/>
          <w:sz w:val="27"/>
          <w:szCs w:val="27"/>
        </w:rPr>
        <w:t>Fitzmore</w:t>
      </w:r>
      <w:proofErr w:type="spellEnd"/>
      <w:r>
        <w:rPr>
          <w:b/>
          <w:bCs/>
          <w:color w:val="000000"/>
          <w:sz w:val="27"/>
          <w:szCs w:val="27"/>
        </w:rPr>
        <w:t xml:space="preserve"> H. Harris, Plaintiff-Appellant, </w:t>
      </w:r>
      <w:r>
        <w:rPr>
          <w:b/>
          <w:bCs/>
          <w:color w:val="000000"/>
          <w:sz w:val="27"/>
          <w:szCs w:val="27"/>
        </w:rPr>
        <w:br/>
      </w:r>
      <w:r>
        <w:rPr>
          <w:b/>
          <w:bCs/>
          <w:color w:val="000000"/>
          <w:sz w:val="27"/>
          <w:szCs w:val="27"/>
        </w:rPr>
        <w:br/>
        <w:t>v</w:t>
      </w:r>
      <w:r>
        <w:rPr>
          <w:b/>
          <w:bCs/>
          <w:color w:val="000000"/>
          <w:sz w:val="27"/>
          <w:szCs w:val="27"/>
        </w:rPr>
        <w:br/>
      </w:r>
      <w:r>
        <w:rPr>
          <w:b/>
          <w:bCs/>
          <w:color w:val="000000"/>
          <w:sz w:val="27"/>
          <w:szCs w:val="27"/>
        </w:rPr>
        <w:br/>
        <w:t>Mitchell N. Kay, et al., Defendants-Respondents.</w:t>
      </w:r>
    </w:p>
    <w:p w14:paraId="6CB5A0A4" w14:textId="77777777" w:rsidR="008D1657" w:rsidRDefault="008D1657" w:rsidP="008D1657">
      <w:pPr>
        <w:pStyle w:val="NormalWeb"/>
        <w:spacing w:line="432" w:lineRule="atLeast"/>
        <w:ind w:firstLine="480"/>
        <w:rPr>
          <w:color w:val="000000"/>
          <w:sz w:val="29"/>
          <w:szCs w:val="29"/>
        </w:rPr>
      </w:pPr>
      <w:r>
        <w:rPr>
          <w:color w:val="000000"/>
          <w:sz w:val="29"/>
          <w:szCs w:val="29"/>
        </w:rPr>
        <w:t xml:space="preserve">H. </w:t>
      </w:r>
      <w:proofErr w:type="spellStart"/>
      <w:r>
        <w:rPr>
          <w:color w:val="000000"/>
          <w:sz w:val="29"/>
          <w:szCs w:val="29"/>
        </w:rPr>
        <w:t>Fitzmore</w:t>
      </w:r>
      <w:proofErr w:type="spellEnd"/>
      <w:r>
        <w:rPr>
          <w:color w:val="000000"/>
          <w:sz w:val="29"/>
          <w:szCs w:val="29"/>
        </w:rPr>
        <w:t xml:space="preserve"> Harris, P.C., Bronx (</w:t>
      </w:r>
      <w:proofErr w:type="spellStart"/>
      <w:r>
        <w:rPr>
          <w:color w:val="000000"/>
          <w:sz w:val="29"/>
          <w:szCs w:val="29"/>
        </w:rPr>
        <w:t>Fitzmore</w:t>
      </w:r>
      <w:proofErr w:type="spellEnd"/>
      <w:r>
        <w:rPr>
          <w:color w:val="000000"/>
          <w:sz w:val="29"/>
          <w:szCs w:val="29"/>
        </w:rPr>
        <w:t xml:space="preserve"> H. Harris of counsel), for appellant.</w:t>
      </w:r>
    </w:p>
    <w:p w14:paraId="0EE0B79B" w14:textId="77777777" w:rsidR="008D1657" w:rsidRDefault="008D1657" w:rsidP="008D1657">
      <w:pPr>
        <w:pStyle w:val="NormalWeb"/>
        <w:spacing w:line="432" w:lineRule="atLeast"/>
        <w:ind w:firstLine="480"/>
      </w:pPr>
      <w:r>
        <w:rPr>
          <w:color w:val="000000"/>
          <w:sz w:val="29"/>
          <w:szCs w:val="29"/>
        </w:rPr>
        <w:t xml:space="preserve">Smith </w:t>
      </w:r>
      <w:proofErr w:type="spellStart"/>
      <w:r>
        <w:rPr>
          <w:color w:val="000000"/>
          <w:sz w:val="29"/>
          <w:szCs w:val="29"/>
        </w:rPr>
        <w:t>Carroad</w:t>
      </w:r>
      <w:proofErr w:type="spellEnd"/>
      <w:r>
        <w:rPr>
          <w:color w:val="000000"/>
          <w:sz w:val="29"/>
          <w:szCs w:val="29"/>
        </w:rPr>
        <w:t xml:space="preserve"> Levy Wan &amp; Parikh, Commack (Riley Mendoza of counsel), for respondents.</w:t>
      </w:r>
      <w:r>
        <w:rPr>
          <w:color w:val="000000"/>
          <w:sz w:val="29"/>
          <w:szCs w:val="29"/>
        </w:rPr>
        <w:br/>
      </w:r>
    </w:p>
    <w:p w14:paraId="5DF06AE1" w14:textId="77777777" w:rsidR="008D1657" w:rsidRDefault="008D1657" w:rsidP="008D1657">
      <w:pPr>
        <w:pStyle w:val="NormalWeb"/>
        <w:spacing w:line="432" w:lineRule="atLeast"/>
        <w:ind w:firstLine="480"/>
        <w:rPr>
          <w:color w:val="000000"/>
          <w:sz w:val="29"/>
          <w:szCs w:val="29"/>
        </w:rPr>
      </w:pPr>
      <w:r>
        <w:rPr>
          <w:color w:val="000000"/>
          <w:sz w:val="29"/>
          <w:szCs w:val="29"/>
        </w:rPr>
        <w:t>Order, Supreme Court, Bronx County (Joseph E. Capella, J.), entered February 3, 2017, which granted defendants' motion pursuant to CPLR 3126(3) to strike the complaint, unanimously affirmed, without costs.</w:t>
      </w:r>
    </w:p>
    <w:p w14:paraId="6B413511" w14:textId="77777777" w:rsidR="008D1657" w:rsidRDefault="008D1657" w:rsidP="008D1657">
      <w:pPr>
        <w:pStyle w:val="NormalWeb"/>
        <w:spacing w:line="432" w:lineRule="atLeast"/>
        <w:ind w:firstLine="480"/>
        <w:rPr>
          <w:color w:val="000000"/>
          <w:sz w:val="29"/>
          <w:szCs w:val="29"/>
        </w:rPr>
      </w:pPr>
      <w:r>
        <w:rPr>
          <w:color w:val="000000"/>
          <w:sz w:val="29"/>
          <w:szCs w:val="29"/>
        </w:rPr>
        <w:lastRenderedPageBreak/>
        <w:t>The court did not abuse its discretion in striking the complaint, given plaintiff's repeated, willful and contumacious refusals to provide discovery and to comply with court's orders over an approximately eight-year period (</w:t>
      </w:r>
      <w:hyperlink r:id="rId6" w:tgtFrame="_blank" w:history="1">
        <w:r>
          <w:rPr>
            <w:rStyle w:val="Hyperlink"/>
            <w:i/>
            <w:iCs/>
            <w:sz w:val="29"/>
            <w:szCs w:val="29"/>
          </w:rPr>
          <w:t>see McHugh v City of New York</w:t>
        </w:r>
        <w:r>
          <w:rPr>
            <w:rStyle w:val="Hyperlink"/>
            <w:sz w:val="29"/>
            <w:szCs w:val="29"/>
          </w:rPr>
          <w:t>, 150 AD3d 561</w:t>
        </w:r>
      </w:hyperlink>
      <w:r>
        <w:rPr>
          <w:color w:val="000000"/>
          <w:sz w:val="29"/>
          <w:szCs w:val="29"/>
        </w:rPr>
        <w:t>, 562 [1st Dept 2017]; </w:t>
      </w:r>
      <w:hyperlink r:id="rId7" w:tgtFrame="_blank" w:history="1">
        <w:r>
          <w:rPr>
            <w:rStyle w:val="Hyperlink"/>
            <w:i/>
            <w:iCs/>
            <w:sz w:val="29"/>
            <w:szCs w:val="29"/>
          </w:rPr>
          <w:t>Fish &amp; Richardson, P.C. v Schindler</w:t>
        </w:r>
        <w:r>
          <w:rPr>
            <w:rStyle w:val="Hyperlink"/>
            <w:sz w:val="29"/>
            <w:szCs w:val="29"/>
          </w:rPr>
          <w:t>, 75 AD3d 219</w:t>
        </w:r>
      </w:hyperlink>
      <w:r>
        <w:rPr>
          <w:color w:val="000000"/>
          <w:sz w:val="29"/>
          <w:szCs w:val="29"/>
        </w:rPr>
        <w:t>, 221-222 [1st Dept 2010]; </w:t>
      </w:r>
      <w:r>
        <w:rPr>
          <w:i/>
          <w:iCs/>
          <w:color w:val="000000"/>
          <w:sz w:val="29"/>
          <w:szCs w:val="29"/>
        </w:rPr>
        <w:t xml:space="preserve">see generally Merrill Lynch, Pierce, </w:t>
      </w:r>
      <w:proofErr w:type="spellStart"/>
      <w:r>
        <w:rPr>
          <w:i/>
          <w:iCs/>
          <w:color w:val="000000"/>
          <w:sz w:val="29"/>
          <w:szCs w:val="29"/>
        </w:rPr>
        <w:t>Fenner</w:t>
      </w:r>
      <w:proofErr w:type="spellEnd"/>
      <w:r>
        <w:rPr>
          <w:i/>
          <w:iCs/>
          <w:color w:val="000000"/>
          <w:sz w:val="29"/>
          <w:szCs w:val="29"/>
        </w:rPr>
        <w:t> </w:t>
      </w:r>
      <w:r>
        <w:rPr>
          <w:color w:val="000000"/>
          <w:sz w:val="29"/>
          <w:szCs w:val="29"/>
        </w:rPr>
        <w:t>&amp; </w:t>
      </w:r>
      <w:hyperlink r:id="rId8" w:tgtFrame="_blank" w:history="1">
        <w:r>
          <w:rPr>
            <w:rStyle w:val="Hyperlink"/>
            <w:i/>
            <w:iCs/>
            <w:sz w:val="29"/>
            <w:szCs w:val="29"/>
          </w:rPr>
          <w:t>Smith, Inc. v Global Strat Inc.</w:t>
        </w:r>
        <w:r>
          <w:rPr>
            <w:rStyle w:val="Hyperlink"/>
            <w:sz w:val="29"/>
            <w:szCs w:val="29"/>
          </w:rPr>
          <w:t>, 22 NY3d 877</w:t>
        </w:r>
      </w:hyperlink>
      <w:r>
        <w:rPr>
          <w:color w:val="000000"/>
          <w:sz w:val="29"/>
          <w:szCs w:val="29"/>
        </w:rPr>
        <w:t>, 880 [2013]). Even if plaintiff's response to defendants' first set of interrogatories could be considered "timely" pursuant to the court's August 28, 2013 order, despite that the interrogatories were served more than six years prior, the response certainly does not "evince[] a good-faith effort to address the requests meaningfully" (</w:t>
      </w:r>
      <w:proofErr w:type="spellStart"/>
      <w:r>
        <w:rPr>
          <w:i/>
          <w:iCs/>
          <w:color w:val="000000"/>
          <w:sz w:val="29"/>
          <w:szCs w:val="29"/>
        </w:rPr>
        <w:t>Kihl</w:t>
      </w:r>
      <w:proofErr w:type="spellEnd"/>
      <w:r>
        <w:rPr>
          <w:i/>
          <w:iCs/>
          <w:color w:val="000000"/>
          <w:sz w:val="29"/>
          <w:szCs w:val="29"/>
        </w:rPr>
        <w:t xml:space="preserve"> v Pfeffer</w:t>
      </w:r>
      <w:r>
        <w:rPr>
          <w:color w:val="000000"/>
          <w:sz w:val="29"/>
          <w:szCs w:val="29"/>
        </w:rPr>
        <w:t>, 94 NY2d 118, 123 [1999]).</w:t>
      </w:r>
    </w:p>
    <w:p w14:paraId="3F9DCCA1" w14:textId="77777777" w:rsidR="008D1657" w:rsidRDefault="008D1657" w:rsidP="008D1657">
      <w:pPr>
        <w:pStyle w:val="NormalWeb"/>
        <w:spacing w:line="432" w:lineRule="atLeast"/>
        <w:ind w:firstLine="480"/>
        <w:rPr>
          <w:color w:val="000000"/>
          <w:sz w:val="29"/>
          <w:szCs w:val="29"/>
        </w:rPr>
      </w:pPr>
      <w:r>
        <w:rPr>
          <w:color w:val="000000"/>
          <w:sz w:val="29"/>
          <w:szCs w:val="29"/>
        </w:rPr>
        <w:t>We have considered plaintiff's remaining arguments and find them unavailing.</w:t>
      </w:r>
    </w:p>
    <w:p w14:paraId="23C01548" w14:textId="77777777" w:rsidR="008D1657" w:rsidRDefault="008D1657" w:rsidP="008D1657">
      <w:pPr>
        <w:pStyle w:val="NormalWeb"/>
        <w:spacing w:line="432" w:lineRule="atLeast"/>
        <w:ind w:firstLine="480"/>
        <w:rPr>
          <w:color w:val="000000"/>
          <w:sz w:val="29"/>
          <w:szCs w:val="29"/>
        </w:rPr>
      </w:pPr>
      <w:r>
        <w:rPr>
          <w:color w:val="000000"/>
          <w:sz w:val="29"/>
          <w:szCs w:val="29"/>
        </w:rPr>
        <w:t>THIS CONSTITUTES THE DECISION AND ORDER</w:t>
      </w:r>
    </w:p>
    <w:p w14:paraId="1AFD2800" w14:textId="77777777" w:rsidR="008D1657" w:rsidRDefault="008D1657" w:rsidP="008D1657">
      <w:pPr>
        <w:pStyle w:val="NormalWeb"/>
        <w:spacing w:line="432" w:lineRule="atLeast"/>
        <w:ind w:firstLine="480"/>
        <w:rPr>
          <w:color w:val="000000"/>
          <w:sz w:val="29"/>
          <w:szCs w:val="29"/>
        </w:rPr>
      </w:pPr>
      <w:r>
        <w:rPr>
          <w:color w:val="000000"/>
          <w:sz w:val="29"/>
          <w:szCs w:val="29"/>
        </w:rPr>
        <w:t>OF THE SUPREME COURT, APPELLATE DIVISION, FIRST DEPARTMENT.</w:t>
      </w:r>
    </w:p>
    <w:p w14:paraId="7CF44E5B" w14:textId="77777777" w:rsidR="008D1657" w:rsidRDefault="008D1657" w:rsidP="008D1657">
      <w:pPr>
        <w:pStyle w:val="NormalWeb"/>
        <w:spacing w:line="432" w:lineRule="atLeast"/>
        <w:ind w:firstLine="480"/>
        <w:rPr>
          <w:color w:val="000000"/>
          <w:sz w:val="29"/>
          <w:szCs w:val="29"/>
        </w:rPr>
      </w:pPr>
      <w:r>
        <w:rPr>
          <w:color w:val="000000"/>
          <w:sz w:val="29"/>
          <w:szCs w:val="29"/>
        </w:rPr>
        <w:t>ENTERED: JANUARY 3, 2019</w:t>
      </w:r>
    </w:p>
    <w:p w14:paraId="436EE867" w14:textId="77777777" w:rsidR="008D1657" w:rsidRDefault="008D1657" w:rsidP="008D1657">
      <w:pPr>
        <w:pStyle w:val="NormalWeb"/>
        <w:spacing w:line="432" w:lineRule="atLeast"/>
        <w:ind w:firstLine="480"/>
        <w:rPr>
          <w:color w:val="000000"/>
          <w:sz w:val="29"/>
          <w:szCs w:val="29"/>
        </w:rPr>
      </w:pPr>
      <w:r>
        <w:rPr>
          <w:color w:val="000000"/>
          <w:sz w:val="29"/>
          <w:szCs w:val="29"/>
        </w:rPr>
        <w:t>CLERK</w:t>
      </w:r>
    </w:p>
    <w:p w14:paraId="10D68E43" w14:textId="77777777" w:rsidR="008D1657" w:rsidRDefault="008D1657" w:rsidP="008D1657">
      <w:pPr>
        <w:rPr>
          <w:sz w:val="24"/>
          <w:szCs w:val="24"/>
        </w:rPr>
      </w:pPr>
      <w:r>
        <w:rPr>
          <w:color w:val="000000"/>
          <w:sz w:val="29"/>
          <w:szCs w:val="29"/>
        </w:rPr>
        <w:br/>
      </w:r>
    </w:p>
    <w:p w14:paraId="121C67D3" w14:textId="77777777" w:rsidR="008D1657" w:rsidRDefault="008D1657" w:rsidP="008D1657">
      <w:pPr>
        <w:pStyle w:val="z-TopofForm"/>
      </w:pPr>
      <w:r>
        <w:t>Top of Form</w:t>
      </w:r>
    </w:p>
    <w:p w14:paraId="66C7C811" w14:textId="77777777" w:rsidR="008D1657" w:rsidRDefault="000F31B1" w:rsidP="008D1657">
      <w:pPr>
        <w:jc w:val="center"/>
        <w:rPr>
          <w:color w:val="000000"/>
          <w:sz w:val="29"/>
          <w:szCs w:val="29"/>
        </w:rPr>
      </w:pPr>
      <w:r>
        <w:rPr>
          <w:noProof/>
          <w:color w:val="000000"/>
          <w:sz w:val="29"/>
          <w:szCs w:val="29"/>
        </w:rPr>
        <w:pict w14:anchorId="338E72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4pt;height:23pt;mso-width-percent:0;mso-height-percent:0;mso-width-percent:0;mso-height-percent:0">
            <v:imagedata r:id="rId9" o:title=""/>
          </v:shape>
        </w:pict>
      </w:r>
    </w:p>
    <w:p w14:paraId="195319C8" w14:textId="77777777" w:rsidR="008D1657" w:rsidRDefault="008D1657" w:rsidP="008D1657">
      <w:pPr>
        <w:pStyle w:val="z-BottomofForm"/>
      </w:pPr>
      <w:r>
        <w:t>Bottom of Form</w:t>
      </w:r>
    </w:p>
    <w:p w14:paraId="2410CCD3" w14:textId="77777777" w:rsidR="00833EC5" w:rsidRPr="008D1657" w:rsidRDefault="00833EC5" w:rsidP="008D1657"/>
    <w:sectPr w:rsidR="00833EC5" w:rsidRPr="008D16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5EB"/>
    <w:rsid w:val="000F31B1"/>
    <w:rsid w:val="003205EB"/>
    <w:rsid w:val="00713AEA"/>
    <w:rsid w:val="00833EC5"/>
    <w:rsid w:val="0088539E"/>
    <w:rsid w:val="008D1657"/>
    <w:rsid w:val="00A13223"/>
    <w:rsid w:val="00EE3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F9E705"/>
  <w15:chartTrackingRefBased/>
  <w15:docId w15:val="{F877B78C-1BA5-4CD5-8651-9A33A1ACF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05EB"/>
    <w:rPr>
      <w:color w:val="0000FF"/>
      <w:u w:val="single"/>
    </w:rPr>
  </w:style>
  <w:style w:type="paragraph" w:styleId="NormalWeb">
    <w:name w:val="Normal (Web)"/>
    <w:basedOn w:val="Normal"/>
    <w:uiPriority w:val="99"/>
    <w:unhideWhenUsed/>
    <w:rsid w:val="003205EB"/>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3205E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205E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205E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205EB"/>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444213">
      <w:bodyDiv w:val="1"/>
      <w:marLeft w:val="0"/>
      <w:marRight w:val="0"/>
      <w:marTop w:val="0"/>
      <w:marBottom w:val="0"/>
      <w:divBdr>
        <w:top w:val="none" w:sz="0" w:space="0" w:color="auto"/>
        <w:left w:val="none" w:sz="0" w:space="0" w:color="auto"/>
        <w:bottom w:val="none" w:sz="0" w:space="0" w:color="auto"/>
        <w:right w:val="none" w:sz="0" w:space="0" w:color="auto"/>
      </w:divBdr>
    </w:div>
    <w:div w:id="208891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state.ny.us/reporter/3dseries/2013/2013_06602.htm" TargetMode="External"/><Relationship Id="rId3" Type="http://schemas.openxmlformats.org/officeDocument/2006/relationships/settings" Target="settings.xml"/><Relationship Id="rId7" Type="http://schemas.openxmlformats.org/officeDocument/2006/relationships/hyperlink" Target="http://www.courts.state.ny.us/reporter/3dseries/2010/2010_04465.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urts.state.ny.us/reporter/3dseries/2017/2017_04069.htm" TargetMode="External"/><Relationship Id="rId11" Type="http://schemas.openxmlformats.org/officeDocument/2006/relationships/theme" Target="theme/theme1.xml"/><Relationship Id="rId5" Type="http://schemas.openxmlformats.org/officeDocument/2006/relationships/hyperlink" Target="http://www.courts.state.ny.us/reporte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D65AD-71F0-3848-9F36-3EC146A31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Mehreen Hayat</dc:creator>
  <cp:keywords/>
  <dc:description/>
  <cp:lastModifiedBy>Microsoft Office User</cp:lastModifiedBy>
  <cp:revision>2</cp:revision>
  <dcterms:created xsi:type="dcterms:W3CDTF">2019-01-08T13:22:00Z</dcterms:created>
  <dcterms:modified xsi:type="dcterms:W3CDTF">2019-01-08T13:22:00Z</dcterms:modified>
</cp:coreProperties>
</file>